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785"/>
        </w:tabs>
        <w:kinsoku/>
        <w:wordWrap/>
        <w:overflowPunct/>
        <w:topLinePunct w:val="0"/>
        <w:autoSpaceDE/>
        <w:autoSpaceDN/>
        <w:bidi w:val="0"/>
        <w:adjustRightInd/>
        <w:snapToGrid/>
        <w:spacing w:line="600" w:lineRule="exact"/>
        <w:ind w:left="0" w:leftChars="0" w:right="0" w:rightChars="0" w:firstLine="0" w:firstLineChars="0"/>
        <w:jc w:val="left"/>
        <w:textAlignment w:val="center"/>
        <w:outlineLvl w:val="9"/>
        <w:rPr>
          <w:rFonts w:hint="eastAsia" w:ascii="宋体" w:hAnsi="宋体"/>
          <w:sz w:val="32"/>
          <w:szCs w:val="32"/>
        </w:rPr>
      </w:pPr>
      <w:r>
        <w:rPr>
          <w:rFonts w:hint="eastAsia" w:ascii="黑体" w:hAnsi="黑体" w:eastAsia="黑体" w:cs="华文楷体"/>
          <w:b w:val="0"/>
          <w:bCs/>
          <w:sz w:val="32"/>
          <w:szCs w:val="32"/>
        </w:rPr>
        <w:t>附件</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医养结合工作重点任务分工方案</w:t>
      </w:r>
      <w:bookmarkEnd w:id="0"/>
    </w:p>
    <w:tbl>
      <w:tblPr>
        <w:tblStyle w:val="3"/>
        <w:tblW w:w="87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5930"/>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0" w:hRule="atLeast"/>
          <w:tblHeader/>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工作任务</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sz w:val="28"/>
                <w:szCs w:val="28"/>
              </w:rPr>
            </w:pPr>
            <w:r>
              <w:rPr>
                <w:rFonts w:hint="eastAsia" w:ascii="黑体" w:hAnsi="黑体" w:eastAsia="黑体" w:cs="黑体"/>
                <w:b w:val="0"/>
                <w:bCs/>
                <w:sz w:val="28"/>
                <w:szCs w:val="28"/>
              </w:rPr>
              <w:t>负责单位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30"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1</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重点加强中西医老年病医院、康复医院、护理院、临终关怀机构建设。为慢性病、老年病、大病恢复期、肿瘤、心脑血管疾病等老年患者提供接续性医疗服务，逐步建成以老年基本医疗卫生服务体系为基础的多层次医疗养老服务体系。</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市民政局、卫生和计划生育委员会分别负责，市发展和改革委员会、财政局、国土资源局、住房和城乡建设局、城乡规划管理局配合。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3"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2</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二级以上综合医疗机构（含中医综合医院）开设老年病科，增设老年医疗养护床位，做好老年慢性病防治和康复护理等相关工作。</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pacing w:val="-11"/>
                <w:sz w:val="28"/>
                <w:szCs w:val="28"/>
              </w:rPr>
              <w:t>市卫生和计划生育委员会牵头，市民政局配合。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64"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3</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支持乡镇卫生院、社区卫生服务中心和具备条件的计划生育技术服务机构发展康复、护理、临终关怀等老年医疗护理服务特色科室，逐步提高基层医疗卫生机构康复、护理床位占比。</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市卫生和计划生育委员会、民政局分别负责。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0"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4</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医疗机构利用现有医疗资源设立养老机构，面向老年人开展集中居住和照料服务的，应当按照《养老机构设立许可办法》的规定，申请养老机构设立许可，民政部门应及时受理。符合设立许可条件的，自受理设立申请后10个工作曰内颁发养老机构设立许可证。</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市民政局负责，市卫生和计划生育委员会配合。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4"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5</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鼓励和引导养老机构与周边医疗卫生机构签订协议，结为定点对口服务单位或医养联合体，本着互利互惠原则，明确双方责任义务，开展多种形式的合作。鼓励医疗卫生机构利用专业的医护团队和设施设备为签订协议的养老机构提供持续、综合的医疗康复护理服务。整合医疗、康复、护理和养老资源，为老年人提供治疗期住院、康复期护理、稳定期生活照料以及临终关怀一体化的医疗卫生和养老服务。</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市民政局、卫生和计划生育委员会分别负责。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60"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6</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医疗卫生机构应按照合作协议为养老机构开通预约就诊绿色通道.为入住老年人提供及时有效的医疗巡诊、健康管理、健康咨询、预约就诊、急诊急救、中医养生保健等服务。</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市卫生和计划生育委员会牵头，市民政局配合。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4"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7</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养老机构内设的具备条件的医疗机构可纳入全市分级诊疗体系，作为医院收治老年人的后期康复护理场所。</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市民政局、卫生和计划生育委员会分别负责。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53"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8</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养老机构根据服务需求和自身能力，按相关规定申请开办的老年病医院、康复医院、护理院、中医医院、临终关怀等医疗机构，优先纳入济源市区域卫生规划，优先予以审核批准，并加大政策支持和技术指导力度。养老机构内设医疗机构的应当向卫生计生部门申请设置和执业登记，卫生计生部门应当在受理设置申请后10个工作日内给予是否同意设置的批复。将养老机构内具备条件的医疗机构纳入全市域乡医院对口支援帮扶计划。</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市民政局、卫生和计划生育委员会分别负责。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8"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9</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充分依托社区各类服务和信息网络平台，实现基层医疗卫生机构与社区养老服务机构的无缝对接。并为65岁以上老年人提供健康管理服务。到2020年，65岁以上老年人健康管理率达到70%以上。</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市民政局、卫生和计划生育委员会分别负责。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7"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10</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按照家庭医生签约服务要求，与老年人家庭签订服务协议，建立契约式服务关系，为老年人提供连续便捷高效的健康管理服务和医疗卫生服务。鼓励基层医疗卫生机构为社区高龄、重病、失能、半失能以及计划生育特殊家庭等行动不便或确有困难的老年人提供定期体检、上门巡诊、家庭病床、社区护理、健康管理、中医保健等服务。</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市民政局、卫生和计划生育委员会分别负责。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40"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11</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鼓励中医医院通过医疗联合、技术协作、举办、托管等多种途後，与老年病医院、护理院、康复机构、养老机构建立合作关系。鼓励有条件的养老机构设置以老年病、慢性病防治为主的中医诊室或提供中医药服务，让中医药融入老年病、慢性病防治全过程。为老年人提供</w:t>
            </w:r>
            <w:r>
              <w:rPr>
                <w:rFonts w:hint="eastAsia" w:ascii="宋体" w:hAnsi="宋体" w:eastAsia="仿宋_GB2312" w:cs="仿宋_GB2312"/>
                <w:spacing w:val="6"/>
                <w:sz w:val="28"/>
                <w:szCs w:val="28"/>
              </w:rPr>
              <w:t>养生保健、体质辨识、中药调护、保健品消费指导等服务。</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市卫生和计划生育委员会、民政局分别负责。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23"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12</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支持采用政府和社会资本合作模式举办各类医养结合机构，鼓励企业、慈善机构、基金会、商业保险机构等社会力量通过特许经营、公建民营、民办公助等模式举办非营利性医养结合机构和专业医疗机构。对社会资本举办的医养结合机构的基本建设项目一律实行备案制。</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市发展和改革委员会、财政局、民政局、卫生和计划生育委员会分别负责。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90"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13</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编制医养结合机构设置规划和空间布局专项规划，合理布局医疗卫生和养老服务资源。</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市民政局、卫生和计划生育委员会牵头，市</w:t>
            </w:r>
            <w:r>
              <w:rPr>
                <w:rFonts w:hint="eastAsia" w:ascii="宋体" w:hAnsi="宋体" w:eastAsia="仿宋_GB2312" w:cs="仿宋_GB2312"/>
                <w:sz w:val="28"/>
                <w:szCs w:val="28"/>
                <w:lang w:eastAsia="zh-CN"/>
              </w:rPr>
              <w:t>国土资源局</w:t>
            </w:r>
            <w:r>
              <w:rPr>
                <w:rFonts w:hint="eastAsia" w:ascii="宋体" w:hAnsi="宋体" w:eastAsia="仿宋_GB2312" w:cs="仿宋_GB2312"/>
                <w:sz w:val="28"/>
                <w:szCs w:val="28"/>
              </w:rPr>
              <w:t>、城乡规划管理局配合。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8"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14</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在城市总体规划、土地利用总体规划和城乡规划中统筹考虑医养结合机构发展需要，优化用地规划布局.扩大用地供给，优先保障非营利性医养结合机构用地。在新、旧城区老年人集中居住区域按比例规划医养结合机构建设用地。</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市发展和改革委员会、城乡规划管理局、国土资源局分别负责，市民政局、卫生和计划生育委员会配合。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7"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15</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制定出台社区医疗卫生和养老设施产权移交管理办法，新建小区开发建设和旧城改造小区要将医养结合设施优先纳入公建配套方案同步规划、同步建设、同步验收、同步交付使用。</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市住房和城乡建设局、城乡规划管理局负责，市民政局、卫生和计划生育委员会配合。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3"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16</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乡镇、村公益性医养结合机构的建设用地，经依法批准，可使用集体所有土地。在符合规划的前提下,将依法处置后政府收回的城市闲置工业用地和社会公益用地，优先安排用于医养结合项目，对使用存量建设用地的医养结合项目，先予以办理供地手续。</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各产业集聚（开发）区</w:t>
            </w:r>
            <w:r>
              <w:rPr>
                <w:rFonts w:hint="eastAsia" w:ascii="宋体" w:hAnsi="宋体" w:eastAsia="仿宋_GB2312" w:cs="仿宋_GB2312"/>
                <w:sz w:val="28"/>
                <w:szCs w:val="28"/>
                <w:lang w:eastAsia="zh-CN"/>
              </w:rPr>
              <w:t>管委会</w:t>
            </w:r>
            <w:r>
              <w:rPr>
                <w:rFonts w:hint="eastAsia" w:ascii="宋体" w:hAnsi="宋体" w:eastAsia="仿宋_GB2312" w:cs="仿宋_GB2312"/>
                <w:sz w:val="28"/>
                <w:szCs w:val="28"/>
              </w:rPr>
              <w:t>、镇</w:t>
            </w:r>
            <w:r>
              <w:rPr>
                <w:rFonts w:hint="eastAsia" w:ascii="宋体" w:hAnsi="宋体" w:eastAsia="仿宋_GB2312" w:cs="仿宋_GB2312"/>
                <w:sz w:val="28"/>
                <w:szCs w:val="28"/>
                <w:lang w:eastAsia="zh-CN"/>
              </w:rPr>
              <w:t>人民政府</w:t>
            </w:r>
            <w:r>
              <w:rPr>
                <w:rFonts w:hint="eastAsia" w:ascii="宋体" w:hAnsi="宋体" w:eastAsia="仿宋_GB2312" w:cs="仿宋_GB2312"/>
                <w:sz w:val="28"/>
                <w:szCs w:val="28"/>
              </w:rPr>
              <w:t>（街道</w:t>
            </w:r>
            <w:r>
              <w:rPr>
                <w:rFonts w:hint="eastAsia" w:ascii="宋体" w:hAnsi="宋体" w:eastAsia="仿宋_GB2312" w:cs="仿宋_GB2312"/>
                <w:sz w:val="28"/>
                <w:szCs w:val="28"/>
                <w:lang w:eastAsia="zh-CN"/>
              </w:rPr>
              <w:t>办事处</w:t>
            </w:r>
            <w:r>
              <w:rPr>
                <w:rFonts w:hint="eastAsia" w:ascii="宋体" w:hAnsi="宋体" w:eastAsia="仿宋_GB2312" w:cs="仿宋_GB2312"/>
                <w:sz w:val="28"/>
                <w:szCs w:val="28"/>
              </w:rPr>
              <w:t>）、市城乡规划管理局、国土资源局分别负责，市民政局、卫生和计划生育委员会配合。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27"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17</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对非营利性医养结合机构，可采取划拨方式，优先保障用地；对营利性医养结合机构，应当以祖赁、出让等有偿方式保障用地，养老机构设置医疗机构，可将在项目中配套建设医疗服务设施相关要求作为土地出让条件，并明确不得分割转让。依法需招标拍卖挂牌出让土地的，应当采取招标拍卖挂牌出让方式。加强对医养结合设施建设用地的监管，严禁改变用途。</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各产业集聚（开发）区</w:t>
            </w:r>
            <w:r>
              <w:rPr>
                <w:rFonts w:hint="eastAsia" w:ascii="宋体" w:hAnsi="宋体" w:eastAsia="仿宋_GB2312" w:cs="仿宋_GB2312"/>
                <w:sz w:val="28"/>
                <w:szCs w:val="28"/>
                <w:lang w:eastAsia="zh-CN"/>
              </w:rPr>
              <w:t>管委会</w:t>
            </w:r>
            <w:r>
              <w:rPr>
                <w:rFonts w:hint="eastAsia" w:ascii="宋体" w:hAnsi="宋体" w:eastAsia="仿宋_GB2312" w:cs="仿宋_GB2312"/>
                <w:sz w:val="28"/>
                <w:szCs w:val="28"/>
              </w:rPr>
              <w:t>、镇</w:t>
            </w:r>
            <w:r>
              <w:rPr>
                <w:rFonts w:hint="eastAsia" w:ascii="宋体" w:hAnsi="宋体" w:eastAsia="仿宋_GB2312" w:cs="仿宋_GB2312"/>
                <w:sz w:val="28"/>
                <w:szCs w:val="28"/>
                <w:lang w:eastAsia="zh-CN"/>
              </w:rPr>
              <w:t>人民政府</w:t>
            </w:r>
            <w:r>
              <w:rPr>
                <w:rFonts w:hint="eastAsia" w:ascii="宋体" w:hAnsi="宋体" w:eastAsia="仿宋_GB2312" w:cs="仿宋_GB2312"/>
                <w:sz w:val="28"/>
                <w:szCs w:val="28"/>
              </w:rPr>
              <w:t>（街道</w:t>
            </w:r>
            <w:r>
              <w:rPr>
                <w:rFonts w:hint="eastAsia" w:ascii="宋体" w:hAnsi="宋体" w:eastAsia="仿宋_GB2312" w:cs="仿宋_GB2312"/>
                <w:sz w:val="28"/>
                <w:szCs w:val="28"/>
                <w:lang w:eastAsia="zh-CN"/>
              </w:rPr>
              <w:t>办事处</w:t>
            </w:r>
            <w:r>
              <w:rPr>
                <w:rFonts w:hint="eastAsia" w:ascii="宋体" w:hAnsi="宋体" w:eastAsia="仿宋_GB2312" w:cs="仿宋_GB2312"/>
                <w:sz w:val="28"/>
                <w:szCs w:val="28"/>
              </w:rPr>
              <w:t>）、市城乡规划管理局、国土资源局分别负责.市民政局、卫生和计划生育委员会配合。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3"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18</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将老年医学、康复、护理、中医等急需紧缺人才纳入全市卫生人才发展规划和全市基层卫生人才工程，进一步加大引进培养和培训力度。探索建立市级老年医学、康复、护理、中医等实训基地，加强相关人才培训工作。</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pacing w:val="-11"/>
                <w:sz w:val="28"/>
                <w:szCs w:val="28"/>
              </w:rPr>
              <w:t>市财政局、人力资源和社会保障局、卫生和计划生育委员会、民政局分别负责。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6"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19</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做好职称评定、专业技术培训和继续医学教育等方面的制度衔接工作，对医养结合机构中的医务人员同等对待。完善薪酬、职称评定等激励机制和医师多点执业政策，鼓励医护人员和相关专业技术人员到养老机构内设的医疗机构工作、轮岗服务或多点执业。</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市人力资源和社会保障局、卫生和计划生育委员会、民政局分别负责。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08"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20</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积极探索创新养老护理人员培养机制和培养模式，研究制定定向培养、合作培养和针对性培养政策，加强专业技能培训，全面提高养老护理人员专业技能，大力推进养老护理员等职业技能鉴定工作。推进院校医学教育与医养结合需求的紧密衔接，教育部门要大力支持高等院校和中等职业学校增设相关专业课程，加快培养老年医学、康复、护理、中医、营养、心理和社会工作等方面专业人才。</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市人力资源和社会保障局、财政局、教育局、民政局、卫生和计划生育委员会分别负责。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21</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开发包括长期商业护理保险在内的多种老年护理保险产品，鼓励探索建立多层次长期照护保障体系，探索建立长期护理保险制度，探索多元化的保险筹资模式，保障老年人长期护理服务需求。</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市人力资源和社会保障局牵头、市财政局、民政局、卫生和计划生育委员会配合。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22</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建立健全长期照护项目内涵、服务标准以及质量评价等行业规范和体制机制，探索建立从居家、社区到专业机构等比较健全的专业照护服务提供体系。</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市人力资源和社会保障局、卫生和计划生育委员会、民政局分别负责。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73"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23</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逐步完善城乡医保支付政策，将偏瘫肢体综合训练、认知知觉功能康复训练、日常生活能力评定等医疗康复项目纳入基本医疗保障范围，为失能、部分失能老年人治疗性康复提供相应保障。</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市人力资源和社会保障局负责。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20"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24</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探索逐步提高城乡基本医保统筹层次。逐步落实异地就医费用直接结算政策，为老年人异地就医提供方便。尽快出台具体支持政策，积极探索开展居家医疗养老服务、家庭病床等保险服务，鼓励和引导商业保险机构积极参与，保费由政府补助、彩票公益金资助、服务机构和个人交费等多方共担，切实保障基层医疗卫生养老机构等服务组织和服务人员的合法权益。</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市人力资源和社会保障局、发展和改革委员会、民政局分别负责。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33"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25</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鼓励和引导商业保险机构积极参与，保费由政府补助、彩票公益金资助、服务机构和个人交费等多方共担，切实保障基层医疗卫生养老机构等服务组织和服务人员的合法权益。</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市财政局、人力资源和社会保障局、民政局、卫生和计划生育委员会分别负责。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7"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26</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积极推进政府购买基本医疗养老服务，逐步扩大购买服务范围，完善购买服务内容，各类经营主体平等参与。</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pacing w:val="-11"/>
                <w:sz w:val="28"/>
                <w:szCs w:val="28"/>
              </w:rPr>
              <w:t>市财政局、发展和改革委员会、民政局、卫生和计划生育委员会分别负责。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37"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27</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加大社会福利彩票公益金对医养结合服务的支持力度，市政府用于社会福利事业的彩票公益金要优先支持建设医疗养老机构和发展医疗养老服务。</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市财政局、民政局分别负责。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83"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28</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pacing w:val="-6"/>
                <w:sz w:val="28"/>
                <w:szCs w:val="28"/>
              </w:rPr>
              <w:t>医养结合机构用水、用电、用气、用热按居民生活类价格政策执行，实行阶梯收费的按最低标准执行，实行水、电、气、热转供的按相关标准单独计费核算。公立医养结合机构的医疗服务价格按国家和我省有关规定执行，非公立医养结合机构的医疗服务价格实行市场调节价。</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市发展和改革委员会牵头，市民政局、卫生和计划生育委员会配合。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0"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29</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pacing w:val="-6"/>
                <w:sz w:val="28"/>
                <w:szCs w:val="28"/>
              </w:rPr>
              <w:t>将医养结合信息化服务纳入市智慧城市、信息惠民工程，加快居民健康卡普及应用。整合卫生计生、民政等部门信息资源，依托人口健康云平台和民政12349居家养老信息服务平台，实现互联互通和信息共享，为开展医养结合服务提供信息和技术支撑。推进信息平台与养老服务机构有效连接，为居家或社区老年人提供紧急呼叫、康复护理指导、健康咨询、健康管理、健康监测等服务。鼓励探索开展基于“互联网”的“医养结合”服务新模式，提高服务的便捷性和针对性。</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市民政局、卫生和计划生育委员会、财政局分别负责，市发展和改革委员会、人力资源和社会保障局配合。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88" w:hRule="atLeast"/>
          <w:jc w:val="center"/>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30</w:t>
            </w:r>
          </w:p>
        </w:tc>
        <w:tc>
          <w:tcPr>
            <w:tcW w:w="593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z w:val="28"/>
                <w:szCs w:val="28"/>
              </w:rPr>
              <w:t>加快发展数字化医院，建设全市远程医疗和健康监护系统，支持二级以上医疗机构向养老机构内设医疗机构提供远程诊疗服务。</w:t>
            </w:r>
          </w:p>
        </w:tc>
        <w:tc>
          <w:tcPr>
            <w:tcW w:w="2088"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spacing w:val="-17"/>
                <w:sz w:val="28"/>
                <w:szCs w:val="28"/>
              </w:rPr>
              <w:t>市民政局、卫生和计划生育委员会分别负责，人力资源和社会保障局、老龄办配合。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544B8"/>
    <w:rsid w:val="7F5544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2017-07-13T08:56:00Z</dcterms:created>
  <dc:creator>Administrator</dc:creator>
  <cp:lastModifiedBy>Administrator</cp:lastModifiedBy>
  <dcterms:modified xsi:type="dcterms:W3CDTF">2017-07-13T08:56:31Z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