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hint="eastAsia" w:eastAsia="黑体" w:cs="黑体"/>
          <w:bCs/>
          <w:spacing w:val="8"/>
          <w:sz w:val="30"/>
          <w:szCs w:val="30"/>
        </w:rPr>
      </w:pPr>
      <w:r>
        <w:rPr>
          <w:rFonts w:hint="eastAsia" w:eastAsia="黑体" w:cs="黑体"/>
          <w:bCs/>
          <w:spacing w:val="8"/>
          <w:sz w:val="30"/>
          <w:szCs w:val="30"/>
        </w:rPr>
        <w:t>附件3</w:t>
      </w:r>
    </w:p>
    <w:p>
      <w:pPr>
        <w:autoSpaceDN w:val="0"/>
        <w:spacing w:line="600" w:lineRule="exact"/>
        <w:jc w:val="center"/>
        <w:rPr>
          <w:rFonts w:hint="eastAsia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bCs/>
          <w:sz w:val="44"/>
          <w:szCs w:val="44"/>
        </w:rPr>
        <w:t>服务业增加值核算所需统计指标</w:t>
      </w:r>
    </w:p>
    <w:bookmarkEnd w:id="0"/>
    <w:p>
      <w:pPr>
        <w:autoSpaceDN w:val="0"/>
        <w:spacing w:line="240" w:lineRule="exact"/>
        <w:jc w:val="center"/>
        <w:rPr>
          <w:rFonts w:hint="eastAsia" w:cs="宋体"/>
          <w:b/>
          <w:szCs w:val="21"/>
        </w:rPr>
      </w:pPr>
    </w:p>
    <w:tbl>
      <w:tblPr>
        <w:tblStyle w:val="3"/>
        <w:tblW w:w="8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528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责任部门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统计指标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eastAsia="黑体" w:cs="宋体"/>
                <w:sz w:val="24"/>
              </w:rPr>
            </w:pPr>
            <w:r>
              <w:rPr>
                <w:rFonts w:hint="eastAsia" w:eastAsia="黑体" w:cs="宋体"/>
                <w:sz w:val="24"/>
              </w:rPr>
              <w:t>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市发展和改革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委员会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其它营利性服务业营业收入增速</w:t>
            </w:r>
            <w:r>
              <w:rPr>
                <w:rFonts w:hint="eastAsia" w:cs="宋体"/>
                <w:bCs/>
                <w:sz w:val="24"/>
              </w:rPr>
              <w:t>（互联网和相关服务、软件和信息技术服务业，租赁和商务服务业，居民服务、修理和其他服务业，文化、体育和娱乐业）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/>
                <w:sz w:val="24"/>
              </w:rPr>
              <w:t>市财政局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财政一般公共预算支出增速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月后5日前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94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一般公共预算支出中八项支出合计增速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季后5日前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市交通运输局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公路运输周转量增速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季后5日前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市住房和城乡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建设局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商品房销售面积增速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房地产业从业人员增速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房地产业从业人员工资总额增速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市商务局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批发业商品销售额增速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零售业商品销售额增速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住宿业营业额增速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餐饮业营业额增速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/>
                <w:sz w:val="24"/>
              </w:rPr>
              <w:t>市国家税务局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批发零售业增值税增速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车辆购置税增速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其它营利性服务业税收收入增速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月后5日前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/>
                <w:sz w:val="24"/>
              </w:rPr>
              <w:t>市地方税务局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第三产业交易契税增速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住宿业税收收入增速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 w:cs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餐饮业税收收入增速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其它营利性服务业税收收入增速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月后5日前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人民银行济源市中心支行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个人消费性贷款余额增速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月后5日前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94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人民币存款余额增速</w:t>
            </w:r>
          </w:p>
          <w:p>
            <w:pPr>
              <w:autoSpaceDN w:val="0"/>
              <w:spacing w:line="320" w:lineRule="exact"/>
              <w:jc w:val="left"/>
              <w:rPr>
                <w:rFonts w:hint="eastAsia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人民币贷款余额增速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季后5日前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市保险行业协会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保费总收入</w:t>
            </w:r>
            <w:r>
              <w:rPr>
                <w:rFonts w:hint="eastAsia"/>
                <w:sz w:val="24"/>
              </w:rPr>
              <w:t>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季后5日前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市邮政管理局</w:t>
            </w:r>
          </w:p>
        </w:tc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邮政业务总量增速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季后5日前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85D3C"/>
    <w:rsid w:val="6A885D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2016-04-18T07:42:00Z</dcterms:created>
  <dc:creator>Administrator</dc:creator>
  <cp:lastModifiedBy>Administrator</cp:lastModifiedBy>
  <dcterms:modified xsi:type="dcterms:W3CDTF">2016-04-18T07:43:30Z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