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00" w:lineRule="exact"/>
        <w:rPr>
          <w:rStyle w:val="4"/>
          <w:rFonts w:hint="eastAsia" w:eastAsia="黑体" w:cs="宋体"/>
          <w:b w:val="0"/>
        </w:rPr>
      </w:pPr>
      <w:r>
        <w:rPr>
          <w:rStyle w:val="4"/>
          <w:rFonts w:hint="eastAsia" w:eastAsia="黑体" w:cs="宋体"/>
          <w:b w:val="0"/>
        </w:rPr>
        <w:t>附  件</w:t>
      </w:r>
    </w:p>
    <w:p>
      <w:pPr>
        <w:spacing w:after="120" w:afterLines="50" w:line="640" w:lineRule="exact"/>
        <w:jc w:val="center"/>
        <w:rPr>
          <w:rFonts w:hint="eastAsia" w:eastAsia="方正小标宋简体"/>
          <w:sz w:val="44"/>
          <w:szCs w:val="44"/>
        </w:rPr>
      </w:pPr>
      <w:r>
        <w:rPr>
          <w:rStyle w:val="4"/>
          <w:rFonts w:hint="eastAsia" w:eastAsia="方正小标宋简体" w:cs="宋体"/>
          <w:b w:val="0"/>
          <w:sz w:val="44"/>
          <w:szCs w:val="44"/>
        </w:rPr>
        <w:t>任务分工和进度安排表</w:t>
      </w:r>
    </w:p>
    <w:tbl>
      <w:tblPr>
        <w:tblStyle w:val="5"/>
        <w:tblW w:w="9009"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24"/>
        <w:gridCol w:w="4014"/>
        <w:gridCol w:w="2246"/>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1" w:hRule="atLeast"/>
          <w:tblHeader/>
          <w:jc w:val="center"/>
        </w:trPr>
        <w:tc>
          <w:tcPr>
            <w:tcW w:w="524" w:type="dxa"/>
            <w:tcMar>
              <w:top w:w="0" w:type="dxa"/>
              <w:left w:w="0" w:type="dxa"/>
              <w:bottom w:w="0" w:type="dxa"/>
              <w:right w:w="0" w:type="dxa"/>
            </w:tcMar>
            <w:vAlign w:val="center"/>
          </w:tcPr>
          <w:p>
            <w:pPr>
              <w:spacing w:line="302" w:lineRule="atLeast"/>
              <w:jc w:val="center"/>
              <w:rPr>
                <w:rFonts w:hint="eastAsia" w:eastAsia="黑体" w:cs="宋体"/>
                <w:sz w:val="22"/>
                <w:szCs w:val="24"/>
              </w:rPr>
            </w:pPr>
            <w:r>
              <w:rPr>
                <w:rFonts w:hint="eastAsia" w:eastAsia="黑体" w:cs="宋体"/>
                <w:kern w:val="0"/>
                <w:sz w:val="22"/>
                <w:szCs w:val="24"/>
              </w:rPr>
              <w:t>序号</w:t>
            </w:r>
          </w:p>
        </w:tc>
        <w:tc>
          <w:tcPr>
            <w:tcW w:w="4014" w:type="dxa"/>
            <w:tcMar>
              <w:top w:w="0" w:type="dxa"/>
              <w:left w:w="0" w:type="dxa"/>
              <w:bottom w:w="0" w:type="dxa"/>
              <w:right w:w="0" w:type="dxa"/>
            </w:tcMar>
            <w:vAlign w:val="center"/>
          </w:tcPr>
          <w:p>
            <w:pPr>
              <w:spacing w:line="302" w:lineRule="atLeast"/>
              <w:jc w:val="center"/>
              <w:rPr>
                <w:rFonts w:hint="eastAsia" w:eastAsia="黑体" w:cs="宋体"/>
                <w:sz w:val="22"/>
                <w:szCs w:val="24"/>
              </w:rPr>
            </w:pPr>
            <w:r>
              <w:rPr>
                <w:rFonts w:hint="eastAsia" w:eastAsia="黑体" w:cs="宋体"/>
                <w:kern w:val="0"/>
                <w:sz w:val="22"/>
                <w:szCs w:val="24"/>
              </w:rPr>
              <w:t>工作任务</w:t>
            </w:r>
          </w:p>
        </w:tc>
        <w:tc>
          <w:tcPr>
            <w:tcW w:w="2246" w:type="dxa"/>
            <w:tcMar>
              <w:top w:w="0" w:type="dxa"/>
              <w:left w:w="0" w:type="dxa"/>
              <w:bottom w:w="0" w:type="dxa"/>
              <w:right w:w="0" w:type="dxa"/>
            </w:tcMar>
            <w:vAlign w:val="center"/>
          </w:tcPr>
          <w:p>
            <w:pPr>
              <w:spacing w:line="302" w:lineRule="atLeast"/>
              <w:jc w:val="center"/>
              <w:rPr>
                <w:rFonts w:hint="eastAsia" w:eastAsia="黑体" w:cs="宋体"/>
                <w:sz w:val="22"/>
                <w:szCs w:val="24"/>
              </w:rPr>
            </w:pPr>
            <w:r>
              <w:rPr>
                <w:rFonts w:hint="eastAsia" w:eastAsia="黑体" w:cs="宋体"/>
                <w:kern w:val="0"/>
                <w:sz w:val="22"/>
                <w:szCs w:val="24"/>
              </w:rPr>
              <w:t>责任单位</w:t>
            </w:r>
          </w:p>
        </w:tc>
        <w:tc>
          <w:tcPr>
            <w:tcW w:w="2225" w:type="dxa"/>
            <w:tcMar>
              <w:top w:w="0" w:type="dxa"/>
              <w:left w:w="0" w:type="dxa"/>
              <w:bottom w:w="0" w:type="dxa"/>
              <w:right w:w="0" w:type="dxa"/>
            </w:tcMar>
            <w:vAlign w:val="center"/>
          </w:tcPr>
          <w:p>
            <w:pPr>
              <w:spacing w:line="302" w:lineRule="atLeast"/>
              <w:jc w:val="center"/>
              <w:rPr>
                <w:rFonts w:hint="eastAsia" w:eastAsia="黑体" w:cs="宋体"/>
                <w:sz w:val="22"/>
                <w:szCs w:val="24"/>
              </w:rPr>
            </w:pPr>
            <w:r>
              <w:rPr>
                <w:rFonts w:hint="eastAsia" w:eastAsia="黑体" w:cs="宋体"/>
                <w:kern w:val="0"/>
                <w:sz w:val="22"/>
                <w:szCs w:val="24"/>
              </w:rPr>
              <w:t>时间进度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009" w:type="dxa"/>
            <w:gridSpan w:val="4"/>
            <w:tcMar>
              <w:top w:w="0" w:type="dxa"/>
              <w:left w:w="0" w:type="dxa"/>
              <w:bottom w:w="0" w:type="dxa"/>
              <w:right w:w="0" w:type="dxa"/>
            </w:tcMar>
            <w:vAlign w:val="center"/>
          </w:tcPr>
          <w:p>
            <w:pPr>
              <w:jc w:val="center"/>
              <w:rPr>
                <w:rFonts w:cs="宋体"/>
                <w:sz w:val="22"/>
                <w:szCs w:val="24"/>
              </w:rPr>
            </w:pPr>
            <w:r>
              <w:rPr>
                <w:rFonts w:hint="eastAsia" w:cs="宋体"/>
                <w:bCs/>
                <w:kern w:val="0"/>
                <w:sz w:val="22"/>
                <w:szCs w:val="24"/>
              </w:rPr>
              <w:t>一、深入推进行政审批改革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4" w:hRule="atLeast"/>
          <w:jc w:val="center"/>
        </w:trPr>
        <w:tc>
          <w:tcPr>
            <w:tcW w:w="524" w:type="dxa"/>
            <w:vAlign w:val="center"/>
          </w:tcPr>
          <w:p>
            <w:pPr>
              <w:spacing w:line="302" w:lineRule="atLeast"/>
              <w:jc w:val="center"/>
              <w:rPr>
                <w:rFonts w:cs="宋体"/>
                <w:sz w:val="22"/>
                <w:szCs w:val="24"/>
              </w:rPr>
            </w:pPr>
            <w:r>
              <w:rPr>
                <w:rFonts w:hint="eastAsia" w:cs="宋体"/>
                <w:kern w:val="0"/>
                <w:sz w:val="22"/>
                <w:szCs w:val="24"/>
              </w:rPr>
              <w:t>1</w:t>
            </w:r>
          </w:p>
        </w:tc>
        <w:tc>
          <w:tcPr>
            <w:tcW w:w="4014" w:type="dxa"/>
            <w:vAlign w:val="center"/>
          </w:tcPr>
          <w:p>
            <w:pPr>
              <w:spacing w:line="302" w:lineRule="atLeast"/>
              <w:rPr>
                <w:rFonts w:cs="宋体"/>
                <w:sz w:val="22"/>
                <w:szCs w:val="24"/>
              </w:rPr>
            </w:pPr>
            <w:r>
              <w:rPr>
                <w:rFonts w:hint="eastAsia" w:cs="宋体"/>
                <w:kern w:val="0"/>
                <w:sz w:val="22"/>
                <w:szCs w:val="24"/>
              </w:rPr>
              <w:t>落实省政府、市政府取消下放承接的审批事项。</w:t>
            </w:r>
          </w:p>
        </w:tc>
        <w:tc>
          <w:tcPr>
            <w:tcW w:w="2246" w:type="dxa"/>
            <w:tcMar>
              <w:top w:w="0" w:type="dxa"/>
              <w:left w:w="0" w:type="dxa"/>
              <w:bottom w:w="0" w:type="dxa"/>
              <w:right w:w="0" w:type="dxa"/>
            </w:tcMar>
            <w:vAlign w:val="center"/>
          </w:tcPr>
          <w:p>
            <w:pPr>
              <w:spacing w:line="302" w:lineRule="atLeast"/>
              <w:jc w:val="center"/>
              <w:rPr>
                <w:rFonts w:hint="eastAsia" w:cs="宋体"/>
                <w:kern w:val="0"/>
                <w:sz w:val="22"/>
                <w:szCs w:val="24"/>
              </w:rPr>
            </w:pPr>
            <w:r>
              <w:rPr>
                <w:rFonts w:hint="eastAsia" w:cs="宋体"/>
                <w:kern w:val="0"/>
                <w:sz w:val="22"/>
                <w:szCs w:val="24"/>
              </w:rPr>
              <w:t>市编办（市协调小组</w:t>
            </w:r>
          </w:p>
          <w:p>
            <w:pPr>
              <w:spacing w:line="302" w:lineRule="atLeast"/>
              <w:jc w:val="center"/>
              <w:rPr>
                <w:rFonts w:hint="eastAsia" w:cs="宋体"/>
                <w:kern w:val="0"/>
                <w:sz w:val="22"/>
                <w:szCs w:val="24"/>
              </w:rPr>
            </w:pPr>
            <w:r>
              <w:rPr>
                <w:rFonts w:hint="eastAsia" w:cs="宋体"/>
                <w:kern w:val="0"/>
                <w:sz w:val="22"/>
                <w:szCs w:val="24"/>
              </w:rPr>
              <w:t>行政审批改革组</w:t>
            </w:r>
          </w:p>
          <w:p>
            <w:pPr>
              <w:spacing w:line="302" w:lineRule="atLeast"/>
              <w:jc w:val="center"/>
              <w:rPr>
                <w:rFonts w:cs="宋体"/>
                <w:sz w:val="22"/>
                <w:szCs w:val="24"/>
              </w:rPr>
            </w:pPr>
            <w:r>
              <w:rPr>
                <w:rFonts w:hint="eastAsia" w:cs="宋体"/>
                <w:kern w:val="0"/>
                <w:sz w:val="22"/>
                <w:szCs w:val="24"/>
              </w:rPr>
              <w:t>组长单位）牵头</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95" w:hRule="atLeast"/>
          <w:jc w:val="center"/>
        </w:trPr>
        <w:tc>
          <w:tcPr>
            <w:tcW w:w="524" w:type="dxa"/>
            <w:vAlign w:val="center"/>
          </w:tcPr>
          <w:p>
            <w:pPr>
              <w:spacing w:line="302" w:lineRule="atLeast"/>
              <w:jc w:val="center"/>
              <w:rPr>
                <w:rFonts w:cs="宋体"/>
                <w:sz w:val="22"/>
                <w:szCs w:val="24"/>
              </w:rPr>
            </w:pPr>
            <w:r>
              <w:rPr>
                <w:rFonts w:hint="eastAsia" w:cs="宋体"/>
                <w:kern w:val="0"/>
                <w:sz w:val="22"/>
                <w:szCs w:val="24"/>
              </w:rPr>
              <w:t>2</w:t>
            </w:r>
          </w:p>
        </w:tc>
        <w:tc>
          <w:tcPr>
            <w:tcW w:w="4014" w:type="dxa"/>
            <w:vAlign w:val="center"/>
          </w:tcPr>
          <w:p>
            <w:pPr>
              <w:spacing w:line="302" w:lineRule="atLeast"/>
              <w:rPr>
                <w:rFonts w:cs="宋体"/>
                <w:sz w:val="22"/>
                <w:szCs w:val="24"/>
              </w:rPr>
            </w:pPr>
            <w:r>
              <w:rPr>
                <w:rFonts w:hint="eastAsia" w:cs="宋体"/>
                <w:kern w:val="0"/>
                <w:sz w:val="22"/>
                <w:szCs w:val="24"/>
              </w:rPr>
              <w:t>再取消一批制约经济发展、束缚企业活力的市级行政审批事项。</w:t>
            </w:r>
          </w:p>
        </w:tc>
        <w:tc>
          <w:tcPr>
            <w:tcW w:w="2246"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市编办牵头</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12月底前完成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88" w:hRule="atLeast"/>
          <w:jc w:val="center"/>
        </w:trPr>
        <w:tc>
          <w:tcPr>
            <w:tcW w:w="524" w:type="dxa"/>
            <w:vAlign w:val="center"/>
          </w:tcPr>
          <w:p>
            <w:pPr>
              <w:spacing w:line="302" w:lineRule="atLeast"/>
              <w:jc w:val="center"/>
              <w:rPr>
                <w:rFonts w:cs="宋体"/>
                <w:sz w:val="22"/>
                <w:szCs w:val="24"/>
              </w:rPr>
            </w:pPr>
            <w:r>
              <w:rPr>
                <w:rFonts w:hint="eastAsia" w:cs="宋体"/>
                <w:kern w:val="0"/>
                <w:sz w:val="22"/>
                <w:szCs w:val="24"/>
              </w:rPr>
              <w:t>3</w:t>
            </w:r>
          </w:p>
        </w:tc>
        <w:tc>
          <w:tcPr>
            <w:tcW w:w="4014" w:type="dxa"/>
            <w:vAlign w:val="center"/>
          </w:tcPr>
          <w:p>
            <w:pPr>
              <w:spacing w:line="302" w:lineRule="atLeast"/>
              <w:rPr>
                <w:rFonts w:cs="宋体"/>
                <w:sz w:val="22"/>
                <w:szCs w:val="24"/>
              </w:rPr>
            </w:pPr>
            <w:r>
              <w:rPr>
                <w:rFonts w:hint="eastAsia" w:cs="宋体"/>
                <w:kern w:val="0"/>
                <w:sz w:val="22"/>
                <w:szCs w:val="24"/>
              </w:rPr>
              <w:t>全面清理和取消非行政许可审批事项，不再保留“非行政许可审批”这一审批类别。</w:t>
            </w:r>
          </w:p>
        </w:tc>
        <w:tc>
          <w:tcPr>
            <w:tcW w:w="2246"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市编办牵头</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12月底前完成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30" w:hRule="atLeast"/>
          <w:jc w:val="center"/>
        </w:trPr>
        <w:tc>
          <w:tcPr>
            <w:tcW w:w="524" w:type="dxa"/>
            <w:vAlign w:val="center"/>
          </w:tcPr>
          <w:p>
            <w:pPr>
              <w:spacing w:line="302" w:lineRule="atLeast"/>
              <w:jc w:val="center"/>
              <w:rPr>
                <w:rFonts w:cs="宋体"/>
                <w:sz w:val="22"/>
                <w:szCs w:val="24"/>
              </w:rPr>
            </w:pPr>
            <w:r>
              <w:rPr>
                <w:rFonts w:hint="eastAsia" w:cs="宋体"/>
                <w:kern w:val="0"/>
                <w:sz w:val="22"/>
                <w:szCs w:val="24"/>
              </w:rPr>
              <w:t>4</w:t>
            </w:r>
          </w:p>
        </w:tc>
        <w:tc>
          <w:tcPr>
            <w:tcW w:w="4014" w:type="dxa"/>
            <w:vAlign w:val="center"/>
          </w:tcPr>
          <w:p>
            <w:pPr>
              <w:spacing w:line="302" w:lineRule="atLeast"/>
              <w:rPr>
                <w:rFonts w:cs="宋体"/>
                <w:sz w:val="22"/>
                <w:szCs w:val="24"/>
              </w:rPr>
            </w:pPr>
            <w:r>
              <w:rPr>
                <w:rFonts w:hint="eastAsia" w:cs="宋体"/>
                <w:kern w:val="0"/>
                <w:sz w:val="22"/>
                <w:szCs w:val="24"/>
              </w:rPr>
              <w:t>全面建立权力清单和责任清单制度，对两个清单实行动态管理，强化运行监管。</w:t>
            </w:r>
          </w:p>
        </w:tc>
        <w:tc>
          <w:tcPr>
            <w:tcW w:w="2246"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市编办牵头</w:t>
            </w:r>
          </w:p>
        </w:tc>
        <w:tc>
          <w:tcPr>
            <w:tcW w:w="2225" w:type="dxa"/>
            <w:tcMar>
              <w:top w:w="0" w:type="dxa"/>
              <w:left w:w="0" w:type="dxa"/>
              <w:bottom w:w="0" w:type="dxa"/>
              <w:right w:w="0" w:type="dxa"/>
            </w:tcMar>
            <w:vAlign w:val="center"/>
          </w:tcPr>
          <w:p>
            <w:pPr>
              <w:spacing w:line="302" w:lineRule="atLeast"/>
              <w:jc w:val="center"/>
              <w:rPr>
                <w:rFonts w:hint="eastAsia" w:cs="宋体"/>
                <w:kern w:val="0"/>
                <w:sz w:val="22"/>
                <w:szCs w:val="24"/>
              </w:rPr>
            </w:pPr>
            <w:r>
              <w:rPr>
                <w:rFonts w:hint="eastAsia" w:cs="宋体"/>
                <w:kern w:val="0"/>
                <w:sz w:val="22"/>
                <w:szCs w:val="24"/>
              </w:rPr>
              <w:t>市政府各部门</w:t>
            </w:r>
          </w:p>
          <w:p>
            <w:pPr>
              <w:spacing w:line="302" w:lineRule="atLeast"/>
              <w:jc w:val="center"/>
              <w:rPr>
                <w:rFonts w:hint="eastAsia" w:cs="宋体"/>
                <w:kern w:val="0"/>
                <w:sz w:val="22"/>
                <w:szCs w:val="24"/>
              </w:rPr>
            </w:pPr>
            <w:r>
              <w:rPr>
                <w:rFonts w:hint="eastAsia" w:cs="宋体"/>
                <w:kern w:val="0"/>
                <w:sz w:val="22"/>
                <w:szCs w:val="24"/>
              </w:rPr>
              <w:t>权力清单和责任</w:t>
            </w:r>
          </w:p>
          <w:p>
            <w:pPr>
              <w:spacing w:line="302" w:lineRule="atLeast"/>
              <w:jc w:val="center"/>
              <w:rPr>
                <w:rFonts w:hint="eastAsia" w:cs="宋体"/>
                <w:kern w:val="0"/>
                <w:sz w:val="22"/>
                <w:szCs w:val="24"/>
              </w:rPr>
            </w:pPr>
            <w:r>
              <w:rPr>
                <w:rFonts w:hint="eastAsia" w:cs="宋体"/>
                <w:kern w:val="0"/>
                <w:sz w:val="22"/>
                <w:szCs w:val="24"/>
              </w:rPr>
              <w:t>清单编制工作</w:t>
            </w:r>
          </w:p>
          <w:p>
            <w:pPr>
              <w:spacing w:line="302" w:lineRule="atLeast"/>
              <w:jc w:val="center"/>
              <w:rPr>
                <w:rFonts w:cs="宋体"/>
                <w:sz w:val="22"/>
                <w:szCs w:val="24"/>
              </w:rPr>
            </w:pPr>
            <w:r>
              <w:rPr>
                <w:rFonts w:hint="eastAsia" w:cs="宋体"/>
                <w:kern w:val="0"/>
                <w:sz w:val="22"/>
                <w:szCs w:val="24"/>
              </w:rPr>
              <w:t>年底前完成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74" w:hRule="atLeast"/>
          <w:jc w:val="center"/>
        </w:trPr>
        <w:tc>
          <w:tcPr>
            <w:tcW w:w="524" w:type="dxa"/>
            <w:vAlign w:val="center"/>
          </w:tcPr>
          <w:p>
            <w:pPr>
              <w:spacing w:line="302" w:lineRule="atLeast"/>
              <w:jc w:val="center"/>
              <w:rPr>
                <w:rFonts w:cs="宋体"/>
                <w:sz w:val="22"/>
                <w:szCs w:val="24"/>
              </w:rPr>
            </w:pPr>
            <w:r>
              <w:rPr>
                <w:rFonts w:hint="eastAsia" w:cs="宋体"/>
                <w:kern w:val="0"/>
                <w:sz w:val="22"/>
                <w:szCs w:val="24"/>
              </w:rPr>
              <w:t>5</w:t>
            </w:r>
          </w:p>
        </w:tc>
        <w:tc>
          <w:tcPr>
            <w:tcW w:w="4014" w:type="dxa"/>
            <w:vAlign w:val="center"/>
          </w:tcPr>
          <w:p>
            <w:pPr>
              <w:spacing w:line="302" w:lineRule="atLeast"/>
              <w:rPr>
                <w:rFonts w:cs="宋体"/>
                <w:sz w:val="22"/>
                <w:szCs w:val="24"/>
              </w:rPr>
            </w:pPr>
            <w:r>
              <w:rPr>
                <w:rFonts w:hint="eastAsia" w:cs="宋体"/>
                <w:kern w:val="0"/>
                <w:sz w:val="22"/>
                <w:szCs w:val="24"/>
              </w:rPr>
              <w:t>规范行政审批行为，加快推进行政审批标准化工作，进一步约束审批权，提高审批效率和透明度。</w:t>
            </w:r>
          </w:p>
        </w:tc>
        <w:tc>
          <w:tcPr>
            <w:tcW w:w="2246"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市编办牵头</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39" w:hRule="atLeast"/>
          <w:jc w:val="center"/>
        </w:trPr>
        <w:tc>
          <w:tcPr>
            <w:tcW w:w="524" w:type="dxa"/>
            <w:vAlign w:val="center"/>
          </w:tcPr>
          <w:p>
            <w:pPr>
              <w:spacing w:line="302" w:lineRule="atLeast"/>
              <w:jc w:val="center"/>
              <w:rPr>
                <w:rFonts w:cs="宋体"/>
                <w:sz w:val="22"/>
                <w:szCs w:val="24"/>
              </w:rPr>
            </w:pPr>
            <w:r>
              <w:rPr>
                <w:rFonts w:hint="eastAsia" w:cs="宋体"/>
                <w:kern w:val="0"/>
                <w:sz w:val="22"/>
                <w:szCs w:val="24"/>
              </w:rPr>
              <w:t>6</w:t>
            </w:r>
          </w:p>
        </w:tc>
        <w:tc>
          <w:tcPr>
            <w:tcW w:w="4014" w:type="dxa"/>
            <w:vAlign w:val="center"/>
          </w:tcPr>
          <w:p>
            <w:pPr>
              <w:spacing w:line="302" w:lineRule="atLeast"/>
              <w:rPr>
                <w:rFonts w:cs="宋体"/>
                <w:sz w:val="22"/>
                <w:szCs w:val="24"/>
              </w:rPr>
            </w:pPr>
            <w:r>
              <w:rPr>
                <w:rFonts w:hint="eastAsia" w:cs="宋体"/>
                <w:kern w:val="0"/>
                <w:sz w:val="22"/>
                <w:szCs w:val="24"/>
              </w:rPr>
              <w:t>清理规范市级行政审批中介服务，破除垄断，规范收费，加强监管。</w:t>
            </w:r>
          </w:p>
        </w:tc>
        <w:tc>
          <w:tcPr>
            <w:tcW w:w="2246"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市编办牵头</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9" w:hRule="atLeast"/>
          <w:jc w:val="center"/>
        </w:trPr>
        <w:tc>
          <w:tcPr>
            <w:tcW w:w="524" w:type="dxa"/>
            <w:vAlign w:val="center"/>
          </w:tcPr>
          <w:p>
            <w:pPr>
              <w:spacing w:line="302" w:lineRule="atLeast"/>
              <w:jc w:val="center"/>
              <w:rPr>
                <w:rFonts w:cs="宋体"/>
                <w:sz w:val="22"/>
                <w:szCs w:val="24"/>
              </w:rPr>
            </w:pPr>
            <w:r>
              <w:rPr>
                <w:rFonts w:hint="eastAsia" w:cs="宋体"/>
                <w:kern w:val="0"/>
                <w:sz w:val="22"/>
                <w:szCs w:val="24"/>
              </w:rPr>
              <w:t>7</w:t>
            </w:r>
          </w:p>
        </w:tc>
        <w:tc>
          <w:tcPr>
            <w:tcW w:w="4014" w:type="dxa"/>
            <w:vAlign w:val="center"/>
          </w:tcPr>
          <w:p>
            <w:pPr>
              <w:spacing w:line="302" w:lineRule="atLeast"/>
              <w:rPr>
                <w:rFonts w:cs="宋体"/>
                <w:sz w:val="22"/>
                <w:szCs w:val="24"/>
              </w:rPr>
            </w:pPr>
            <w:r>
              <w:rPr>
                <w:rFonts w:hint="eastAsia" w:cs="宋体"/>
                <w:kern w:val="0"/>
                <w:sz w:val="22"/>
                <w:szCs w:val="24"/>
              </w:rPr>
              <w:t>跟进国务院、省政府工作进度，清理规范市级各类涉企证照。</w:t>
            </w:r>
          </w:p>
        </w:tc>
        <w:tc>
          <w:tcPr>
            <w:tcW w:w="2246" w:type="dxa"/>
            <w:tcMar>
              <w:top w:w="0" w:type="dxa"/>
              <w:left w:w="0" w:type="dxa"/>
              <w:bottom w:w="0" w:type="dxa"/>
              <w:right w:w="0" w:type="dxa"/>
            </w:tcMar>
            <w:vAlign w:val="center"/>
          </w:tcPr>
          <w:p>
            <w:pPr>
              <w:spacing w:line="302" w:lineRule="atLeast"/>
              <w:jc w:val="center"/>
              <w:rPr>
                <w:rFonts w:cs="宋体"/>
                <w:spacing w:val="0"/>
                <w:sz w:val="22"/>
                <w:szCs w:val="22"/>
              </w:rPr>
            </w:pPr>
            <w:r>
              <w:rPr>
                <w:rFonts w:hint="eastAsia" w:cs="宋体"/>
                <w:spacing w:val="0"/>
                <w:kern w:val="0"/>
                <w:sz w:val="22"/>
                <w:szCs w:val="22"/>
              </w:rPr>
              <w:t>市工商行政管理局牵头</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009" w:type="dxa"/>
            <w:gridSpan w:val="4"/>
            <w:tcMar>
              <w:top w:w="0" w:type="dxa"/>
              <w:left w:w="0" w:type="dxa"/>
              <w:bottom w:w="0" w:type="dxa"/>
              <w:right w:w="0" w:type="dxa"/>
            </w:tcMar>
            <w:vAlign w:val="center"/>
          </w:tcPr>
          <w:p>
            <w:pPr>
              <w:jc w:val="center"/>
              <w:rPr>
                <w:rFonts w:cs="宋体"/>
                <w:sz w:val="22"/>
                <w:szCs w:val="24"/>
              </w:rPr>
            </w:pPr>
            <w:r>
              <w:rPr>
                <w:rFonts w:hint="eastAsia" w:cs="宋体"/>
                <w:bCs/>
                <w:kern w:val="0"/>
                <w:sz w:val="22"/>
                <w:szCs w:val="24"/>
              </w:rPr>
              <w:t>二、深入推进投资审批改革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306" w:hRule="atLeast"/>
          <w:jc w:val="center"/>
        </w:trPr>
        <w:tc>
          <w:tcPr>
            <w:tcW w:w="524" w:type="dxa"/>
            <w:vAlign w:val="center"/>
          </w:tcPr>
          <w:p>
            <w:pPr>
              <w:spacing w:line="302" w:lineRule="atLeast"/>
              <w:jc w:val="center"/>
              <w:rPr>
                <w:rFonts w:cs="宋体"/>
                <w:sz w:val="22"/>
                <w:szCs w:val="24"/>
              </w:rPr>
            </w:pPr>
            <w:r>
              <w:rPr>
                <w:rFonts w:hint="eastAsia" w:cs="宋体"/>
                <w:kern w:val="0"/>
                <w:sz w:val="22"/>
                <w:szCs w:val="24"/>
              </w:rPr>
              <w:t>8</w:t>
            </w:r>
          </w:p>
        </w:tc>
        <w:tc>
          <w:tcPr>
            <w:tcW w:w="4014" w:type="dxa"/>
            <w:vAlign w:val="center"/>
          </w:tcPr>
          <w:p>
            <w:pPr>
              <w:spacing w:line="302" w:lineRule="atLeast"/>
              <w:rPr>
                <w:rFonts w:cs="宋体"/>
                <w:sz w:val="22"/>
                <w:szCs w:val="24"/>
              </w:rPr>
            </w:pPr>
            <w:r>
              <w:rPr>
                <w:rFonts w:hint="eastAsia" w:cs="宋体"/>
                <w:kern w:val="0"/>
                <w:sz w:val="22"/>
                <w:szCs w:val="24"/>
              </w:rPr>
              <w:t>认真贯彻落实省政府制定的《政府核准的投资项目目录》。</w:t>
            </w:r>
          </w:p>
        </w:tc>
        <w:tc>
          <w:tcPr>
            <w:tcW w:w="2246" w:type="dxa"/>
            <w:tcMar>
              <w:top w:w="0" w:type="dxa"/>
              <w:left w:w="0" w:type="dxa"/>
              <w:bottom w:w="0" w:type="dxa"/>
              <w:right w:w="0" w:type="dxa"/>
            </w:tcMar>
            <w:vAlign w:val="center"/>
          </w:tcPr>
          <w:p>
            <w:pPr>
              <w:spacing w:line="302" w:lineRule="atLeast"/>
              <w:jc w:val="center"/>
              <w:rPr>
                <w:rFonts w:cs="宋体"/>
                <w:spacing w:val="0"/>
                <w:sz w:val="22"/>
                <w:szCs w:val="22"/>
              </w:rPr>
            </w:pPr>
            <w:r>
              <w:rPr>
                <w:rFonts w:hint="eastAsia" w:cs="宋体"/>
                <w:spacing w:val="0"/>
                <w:kern w:val="0"/>
                <w:sz w:val="22"/>
                <w:szCs w:val="22"/>
              </w:rPr>
              <w:t>市发展和改革委员会（市协调小组投资审批改革组组长单位）牵头</w:t>
            </w:r>
          </w:p>
        </w:tc>
        <w:tc>
          <w:tcPr>
            <w:tcW w:w="2225" w:type="dxa"/>
            <w:tcMar>
              <w:top w:w="0" w:type="dxa"/>
              <w:left w:w="0" w:type="dxa"/>
              <w:bottom w:w="0" w:type="dxa"/>
              <w:right w:w="0" w:type="dxa"/>
            </w:tcMar>
            <w:vAlign w:val="center"/>
          </w:tcPr>
          <w:p>
            <w:pPr>
              <w:spacing w:line="302" w:lineRule="atLeast"/>
              <w:jc w:val="center"/>
              <w:rPr>
                <w:rFonts w:hint="eastAsia" w:cs="宋体"/>
                <w:kern w:val="0"/>
                <w:sz w:val="22"/>
                <w:szCs w:val="24"/>
              </w:rPr>
            </w:pPr>
            <w:r>
              <w:rPr>
                <w:rFonts w:hint="eastAsia" w:cs="宋体"/>
                <w:kern w:val="0"/>
                <w:sz w:val="22"/>
                <w:szCs w:val="24"/>
              </w:rPr>
              <w:t>在省政府出台《</w:t>
            </w:r>
          </w:p>
          <w:p>
            <w:pPr>
              <w:spacing w:line="302" w:lineRule="atLeast"/>
              <w:jc w:val="center"/>
              <w:rPr>
                <w:rFonts w:hint="eastAsia" w:cs="宋体"/>
                <w:kern w:val="0"/>
                <w:sz w:val="22"/>
                <w:szCs w:val="24"/>
              </w:rPr>
            </w:pPr>
            <w:r>
              <w:rPr>
                <w:rFonts w:hint="eastAsia" w:cs="宋体"/>
                <w:kern w:val="0"/>
                <w:sz w:val="22"/>
                <w:szCs w:val="24"/>
              </w:rPr>
              <w:t>政府核准的投资项目目录》后，</w:t>
            </w:r>
          </w:p>
          <w:p>
            <w:pPr>
              <w:spacing w:line="302" w:lineRule="atLeast"/>
              <w:jc w:val="center"/>
              <w:rPr>
                <w:rFonts w:cs="宋体"/>
                <w:sz w:val="22"/>
                <w:szCs w:val="24"/>
              </w:rPr>
            </w:pPr>
            <w:r>
              <w:rPr>
                <w:rFonts w:hint="eastAsia" w:cs="宋体"/>
                <w:kern w:val="0"/>
                <w:sz w:val="22"/>
                <w:szCs w:val="24"/>
              </w:rPr>
              <w:t>严格贯彻落实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617" w:hRule="atLeast"/>
          <w:jc w:val="center"/>
        </w:trPr>
        <w:tc>
          <w:tcPr>
            <w:tcW w:w="524" w:type="dxa"/>
            <w:vAlign w:val="center"/>
          </w:tcPr>
          <w:p>
            <w:pPr>
              <w:spacing w:line="302" w:lineRule="atLeast"/>
              <w:jc w:val="center"/>
              <w:rPr>
                <w:rFonts w:cs="宋体"/>
                <w:sz w:val="22"/>
                <w:szCs w:val="24"/>
              </w:rPr>
            </w:pPr>
            <w:r>
              <w:rPr>
                <w:rFonts w:hint="eastAsia" w:cs="宋体"/>
                <w:kern w:val="0"/>
                <w:sz w:val="22"/>
                <w:szCs w:val="24"/>
              </w:rPr>
              <w:t>9</w:t>
            </w:r>
          </w:p>
        </w:tc>
        <w:tc>
          <w:tcPr>
            <w:tcW w:w="4014" w:type="dxa"/>
            <w:vAlign w:val="center"/>
          </w:tcPr>
          <w:p>
            <w:pPr>
              <w:spacing w:line="302" w:lineRule="atLeast"/>
              <w:rPr>
                <w:rFonts w:cs="宋体"/>
                <w:sz w:val="22"/>
                <w:szCs w:val="24"/>
              </w:rPr>
            </w:pPr>
            <w:r>
              <w:rPr>
                <w:rFonts w:hint="eastAsia" w:cs="宋体"/>
                <w:kern w:val="0"/>
                <w:sz w:val="22"/>
                <w:szCs w:val="24"/>
              </w:rPr>
              <w:t>认真执行省政府制定的《政府核准和备案投资项目管理条例》贯彻落实意见。</w:t>
            </w:r>
          </w:p>
        </w:tc>
        <w:tc>
          <w:tcPr>
            <w:tcW w:w="2246"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市发展和改革委员会牵头</w:t>
            </w:r>
          </w:p>
        </w:tc>
        <w:tc>
          <w:tcPr>
            <w:tcW w:w="2225" w:type="dxa"/>
            <w:tcMar>
              <w:top w:w="0" w:type="dxa"/>
              <w:left w:w="0" w:type="dxa"/>
              <w:bottom w:w="0" w:type="dxa"/>
              <w:right w:w="0" w:type="dxa"/>
            </w:tcMar>
            <w:vAlign w:val="center"/>
          </w:tcPr>
          <w:p>
            <w:pPr>
              <w:spacing w:line="302" w:lineRule="atLeast"/>
              <w:jc w:val="center"/>
              <w:rPr>
                <w:rFonts w:hint="eastAsia" w:cs="宋体"/>
                <w:kern w:val="0"/>
                <w:sz w:val="22"/>
                <w:szCs w:val="24"/>
              </w:rPr>
            </w:pPr>
            <w:r>
              <w:rPr>
                <w:rFonts w:hint="eastAsia" w:cs="宋体"/>
                <w:kern w:val="0"/>
                <w:sz w:val="22"/>
                <w:szCs w:val="24"/>
              </w:rPr>
              <w:t>在省政府出台</w:t>
            </w:r>
          </w:p>
          <w:p>
            <w:pPr>
              <w:spacing w:line="302" w:lineRule="atLeast"/>
              <w:jc w:val="center"/>
              <w:rPr>
                <w:rFonts w:hint="eastAsia" w:cs="宋体"/>
                <w:kern w:val="0"/>
                <w:sz w:val="22"/>
                <w:szCs w:val="24"/>
              </w:rPr>
            </w:pPr>
            <w:r>
              <w:rPr>
                <w:rFonts w:hint="eastAsia" w:cs="宋体"/>
                <w:kern w:val="0"/>
                <w:sz w:val="22"/>
                <w:szCs w:val="24"/>
              </w:rPr>
              <w:t>《政府核准和备案投资项目管理条例》贯彻实施意见后，</w:t>
            </w:r>
          </w:p>
          <w:p>
            <w:pPr>
              <w:spacing w:line="302" w:lineRule="atLeast"/>
              <w:jc w:val="center"/>
              <w:rPr>
                <w:rFonts w:cs="宋体"/>
                <w:sz w:val="22"/>
                <w:szCs w:val="24"/>
              </w:rPr>
            </w:pPr>
            <w:r>
              <w:rPr>
                <w:rFonts w:hint="eastAsia" w:cs="宋体"/>
                <w:kern w:val="0"/>
                <w:sz w:val="22"/>
                <w:szCs w:val="24"/>
              </w:rPr>
              <w:t>认真执行落实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324" w:hRule="atLeast"/>
          <w:jc w:val="center"/>
        </w:trPr>
        <w:tc>
          <w:tcPr>
            <w:tcW w:w="524" w:type="dxa"/>
            <w:vAlign w:val="center"/>
          </w:tcPr>
          <w:p>
            <w:pPr>
              <w:spacing w:line="302" w:lineRule="atLeast"/>
              <w:jc w:val="center"/>
              <w:rPr>
                <w:rFonts w:cs="宋体"/>
                <w:sz w:val="22"/>
                <w:szCs w:val="24"/>
              </w:rPr>
            </w:pPr>
            <w:r>
              <w:rPr>
                <w:rFonts w:hint="eastAsia" w:cs="宋体"/>
                <w:kern w:val="0"/>
                <w:sz w:val="22"/>
                <w:szCs w:val="24"/>
              </w:rPr>
              <w:t>10</w:t>
            </w:r>
          </w:p>
        </w:tc>
        <w:tc>
          <w:tcPr>
            <w:tcW w:w="4014" w:type="dxa"/>
            <w:vAlign w:val="center"/>
          </w:tcPr>
          <w:p>
            <w:pPr>
              <w:spacing w:line="302" w:lineRule="atLeast"/>
              <w:rPr>
                <w:rFonts w:cs="宋体"/>
                <w:sz w:val="22"/>
                <w:szCs w:val="24"/>
              </w:rPr>
            </w:pPr>
            <w:r>
              <w:rPr>
                <w:rFonts w:hint="eastAsia" w:cs="宋体"/>
                <w:kern w:val="0"/>
                <w:sz w:val="22"/>
                <w:szCs w:val="24"/>
              </w:rPr>
              <w:t>贯彻落实省政府公布的我省企业投资项目核准及强制性中介服务事项目录清单。</w:t>
            </w:r>
          </w:p>
        </w:tc>
        <w:tc>
          <w:tcPr>
            <w:tcW w:w="2246"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市发展和改革委员会牵头</w:t>
            </w:r>
          </w:p>
        </w:tc>
        <w:tc>
          <w:tcPr>
            <w:tcW w:w="2225" w:type="dxa"/>
            <w:tcMar>
              <w:top w:w="0" w:type="dxa"/>
              <w:left w:w="0" w:type="dxa"/>
              <w:bottom w:w="0" w:type="dxa"/>
              <w:right w:w="0" w:type="dxa"/>
            </w:tcMar>
            <w:vAlign w:val="center"/>
          </w:tcPr>
          <w:p>
            <w:pPr>
              <w:spacing w:line="302" w:lineRule="atLeast"/>
              <w:jc w:val="center"/>
              <w:rPr>
                <w:rFonts w:hint="eastAsia" w:cs="宋体"/>
                <w:kern w:val="0"/>
                <w:sz w:val="22"/>
                <w:szCs w:val="24"/>
              </w:rPr>
            </w:pPr>
            <w:r>
              <w:rPr>
                <w:rFonts w:hint="eastAsia" w:cs="宋体"/>
                <w:kern w:val="0"/>
                <w:sz w:val="22"/>
                <w:szCs w:val="24"/>
              </w:rPr>
              <w:t>在省政府公布投资项目标准及服务</w:t>
            </w:r>
          </w:p>
          <w:p>
            <w:pPr>
              <w:spacing w:line="302" w:lineRule="atLeast"/>
              <w:jc w:val="center"/>
              <w:rPr>
                <w:rFonts w:hint="eastAsia" w:cs="宋体"/>
                <w:kern w:val="0"/>
                <w:sz w:val="22"/>
                <w:szCs w:val="24"/>
              </w:rPr>
            </w:pPr>
            <w:r>
              <w:rPr>
                <w:rFonts w:hint="eastAsia" w:cs="宋体"/>
                <w:kern w:val="0"/>
                <w:sz w:val="22"/>
                <w:szCs w:val="24"/>
              </w:rPr>
              <w:t>事项目录清单后，</w:t>
            </w:r>
          </w:p>
          <w:p>
            <w:pPr>
              <w:spacing w:line="302" w:lineRule="atLeast"/>
              <w:jc w:val="center"/>
              <w:rPr>
                <w:rFonts w:cs="宋体"/>
                <w:sz w:val="22"/>
                <w:szCs w:val="24"/>
              </w:rPr>
            </w:pPr>
            <w:r>
              <w:rPr>
                <w:rFonts w:hint="eastAsia" w:cs="宋体"/>
                <w:kern w:val="0"/>
                <w:sz w:val="22"/>
                <w:szCs w:val="24"/>
              </w:rPr>
              <w:t>严格贯彻落实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6" w:hRule="atLeast"/>
          <w:jc w:val="center"/>
        </w:trPr>
        <w:tc>
          <w:tcPr>
            <w:tcW w:w="524" w:type="dxa"/>
            <w:vAlign w:val="center"/>
          </w:tcPr>
          <w:p>
            <w:pPr>
              <w:spacing w:line="302" w:lineRule="atLeast"/>
              <w:jc w:val="center"/>
              <w:rPr>
                <w:rFonts w:cs="宋体"/>
                <w:sz w:val="22"/>
                <w:szCs w:val="24"/>
              </w:rPr>
            </w:pPr>
            <w:r>
              <w:rPr>
                <w:rFonts w:hint="eastAsia" w:cs="宋体"/>
                <w:kern w:val="0"/>
                <w:sz w:val="22"/>
                <w:szCs w:val="24"/>
              </w:rPr>
              <w:t>11</w:t>
            </w:r>
          </w:p>
        </w:tc>
        <w:tc>
          <w:tcPr>
            <w:tcW w:w="4014" w:type="dxa"/>
            <w:vAlign w:val="center"/>
          </w:tcPr>
          <w:p>
            <w:pPr>
              <w:spacing w:line="302" w:lineRule="atLeast"/>
              <w:rPr>
                <w:rFonts w:cs="宋体"/>
                <w:sz w:val="22"/>
                <w:szCs w:val="24"/>
              </w:rPr>
            </w:pPr>
            <w:r>
              <w:rPr>
                <w:rFonts w:hint="eastAsia" w:cs="宋体"/>
                <w:kern w:val="0"/>
                <w:sz w:val="22"/>
                <w:szCs w:val="24"/>
              </w:rPr>
              <w:t>严格执行我省简化投资项目报建手续实施意见中的各项具体规定，压缩前置审批环节并公布审批时限。</w:t>
            </w:r>
          </w:p>
        </w:tc>
        <w:tc>
          <w:tcPr>
            <w:tcW w:w="2246"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市发展和改革委员会牵头</w:t>
            </w:r>
          </w:p>
        </w:tc>
        <w:tc>
          <w:tcPr>
            <w:tcW w:w="2225" w:type="dxa"/>
            <w:tcMar>
              <w:top w:w="0" w:type="dxa"/>
              <w:left w:w="0" w:type="dxa"/>
              <w:bottom w:w="0" w:type="dxa"/>
              <w:right w:w="0" w:type="dxa"/>
            </w:tcMar>
            <w:vAlign w:val="center"/>
          </w:tcPr>
          <w:p>
            <w:pPr>
              <w:spacing w:line="302" w:lineRule="atLeast"/>
              <w:jc w:val="center"/>
              <w:rPr>
                <w:rFonts w:hint="eastAsia" w:cs="宋体"/>
                <w:kern w:val="0"/>
                <w:sz w:val="22"/>
                <w:szCs w:val="24"/>
              </w:rPr>
            </w:pPr>
            <w:r>
              <w:rPr>
                <w:rFonts w:hint="eastAsia" w:cs="宋体"/>
                <w:kern w:val="0"/>
                <w:sz w:val="22"/>
                <w:szCs w:val="24"/>
              </w:rPr>
              <w:t>在省政府公布我省</w:t>
            </w:r>
          </w:p>
          <w:p>
            <w:pPr>
              <w:spacing w:line="302" w:lineRule="atLeast"/>
              <w:jc w:val="center"/>
              <w:rPr>
                <w:rFonts w:hint="eastAsia" w:cs="宋体"/>
                <w:kern w:val="0"/>
                <w:sz w:val="22"/>
                <w:szCs w:val="24"/>
              </w:rPr>
            </w:pPr>
            <w:r>
              <w:rPr>
                <w:rFonts w:hint="eastAsia" w:cs="宋体"/>
                <w:kern w:val="0"/>
                <w:sz w:val="22"/>
                <w:szCs w:val="24"/>
              </w:rPr>
              <w:t>简化投资项目报建</w:t>
            </w:r>
          </w:p>
          <w:p>
            <w:pPr>
              <w:spacing w:line="302" w:lineRule="atLeast"/>
              <w:jc w:val="center"/>
              <w:rPr>
                <w:rFonts w:hint="eastAsia" w:cs="宋体"/>
                <w:kern w:val="0"/>
                <w:sz w:val="22"/>
                <w:szCs w:val="24"/>
              </w:rPr>
            </w:pPr>
            <w:r>
              <w:rPr>
                <w:rFonts w:hint="eastAsia" w:cs="宋体"/>
                <w:kern w:val="0"/>
                <w:sz w:val="22"/>
                <w:szCs w:val="24"/>
              </w:rPr>
              <w:t>手续实施意见后，</w:t>
            </w:r>
          </w:p>
          <w:p>
            <w:pPr>
              <w:spacing w:line="302" w:lineRule="atLeast"/>
              <w:jc w:val="center"/>
              <w:rPr>
                <w:rFonts w:cs="宋体"/>
                <w:sz w:val="22"/>
                <w:szCs w:val="24"/>
              </w:rPr>
            </w:pPr>
            <w:r>
              <w:rPr>
                <w:rFonts w:hint="eastAsia" w:cs="宋体"/>
                <w:kern w:val="0"/>
                <w:sz w:val="22"/>
                <w:szCs w:val="24"/>
              </w:rPr>
              <w:t>严格贯彻执行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06" w:hRule="atLeast"/>
          <w:jc w:val="center"/>
        </w:trPr>
        <w:tc>
          <w:tcPr>
            <w:tcW w:w="524" w:type="dxa"/>
            <w:vAlign w:val="center"/>
          </w:tcPr>
          <w:p>
            <w:pPr>
              <w:spacing w:line="302" w:lineRule="atLeast"/>
              <w:jc w:val="center"/>
              <w:rPr>
                <w:rFonts w:cs="宋体"/>
                <w:sz w:val="22"/>
                <w:szCs w:val="24"/>
              </w:rPr>
            </w:pPr>
            <w:r>
              <w:rPr>
                <w:rFonts w:hint="eastAsia" w:cs="宋体"/>
                <w:kern w:val="0"/>
                <w:sz w:val="22"/>
                <w:szCs w:val="24"/>
              </w:rPr>
              <w:t>12</w:t>
            </w:r>
          </w:p>
        </w:tc>
        <w:tc>
          <w:tcPr>
            <w:tcW w:w="4014" w:type="dxa"/>
            <w:vAlign w:val="center"/>
          </w:tcPr>
          <w:p>
            <w:pPr>
              <w:spacing w:line="302" w:lineRule="atLeast"/>
              <w:rPr>
                <w:rFonts w:cs="宋体"/>
                <w:sz w:val="22"/>
                <w:szCs w:val="24"/>
              </w:rPr>
            </w:pPr>
            <w:r>
              <w:rPr>
                <w:rFonts w:hint="eastAsia" w:cs="宋体"/>
                <w:kern w:val="0"/>
                <w:sz w:val="22"/>
                <w:szCs w:val="24"/>
              </w:rPr>
              <w:t>创新投资管理方式，严格执行主动协同放权、落实限时办结制度等制度及措施。</w:t>
            </w:r>
          </w:p>
        </w:tc>
        <w:tc>
          <w:tcPr>
            <w:tcW w:w="2246"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市发展和改革委员会牵头</w:t>
            </w:r>
          </w:p>
        </w:tc>
        <w:tc>
          <w:tcPr>
            <w:tcW w:w="2225" w:type="dxa"/>
            <w:tcMar>
              <w:top w:w="0" w:type="dxa"/>
              <w:left w:w="0" w:type="dxa"/>
              <w:bottom w:w="0" w:type="dxa"/>
              <w:right w:w="0" w:type="dxa"/>
            </w:tcMar>
            <w:vAlign w:val="center"/>
          </w:tcPr>
          <w:p>
            <w:pPr>
              <w:spacing w:line="302" w:lineRule="atLeast"/>
              <w:jc w:val="center"/>
              <w:rPr>
                <w:rFonts w:hint="eastAsia" w:cs="宋体"/>
                <w:kern w:val="0"/>
                <w:sz w:val="22"/>
                <w:szCs w:val="24"/>
              </w:rPr>
            </w:pPr>
            <w:r>
              <w:rPr>
                <w:rFonts w:hint="eastAsia" w:cs="宋体"/>
                <w:kern w:val="0"/>
                <w:sz w:val="22"/>
                <w:szCs w:val="24"/>
              </w:rPr>
              <w:t>在省政府出台我省协同监管机制后，</w:t>
            </w:r>
          </w:p>
          <w:p>
            <w:pPr>
              <w:spacing w:line="302" w:lineRule="atLeast"/>
              <w:jc w:val="center"/>
              <w:rPr>
                <w:rFonts w:cs="宋体"/>
                <w:sz w:val="22"/>
                <w:szCs w:val="24"/>
              </w:rPr>
            </w:pPr>
            <w:r>
              <w:rPr>
                <w:rFonts w:hint="eastAsia" w:cs="宋体"/>
                <w:kern w:val="0"/>
                <w:sz w:val="22"/>
                <w:szCs w:val="24"/>
              </w:rPr>
              <w:t>严格贯彻执行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46" w:hRule="atLeast"/>
          <w:jc w:val="center"/>
        </w:trPr>
        <w:tc>
          <w:tcPr>
            <w:tcW w:w="524" w:type="dxa"/>
            <w:vAlign w:val="center"/>
          </w:tcPr>
          <w:p>
            <w:pPr>
              <w:spacing w:line="302" w:lineRule="atLeast"/>
              <w:jc w:val="center"/>
              <w:rPr>
                <w:rFonts w:cs="宋体"/>
                <w:sz w:val="22"/>
                <w:szCs w:val="24"/>
              </w:rPr>
            </w:pPr>
            <w:r>
              <w:rPr>
                <w:rFonts w:hint="eastAsia" w:cs="宋体"/>
                <w:kern w:val="0"/>
                <w:sz w:val="22"/>
                <w:szCs w:val="24"/>
              </w:rPr>
              <w:t>13</w:t>
            </w:r>
          </w:p>
        </w:tc>
        <w:tc>
          <w:tcPr>
            <w:tcW w:w="4014" w:type="dxa"/>
            <w:vAlign w:val="center"/>
          </w:tcPr>
          <w:p>
            <w:pPr>
              <w:spacing w:line="302" w:lineRule="atLeast"/>
              <w:rPr>
                <w:rFonts w:cs="宋体"/>
                <w:sz w:val="22"/>
                <w:szCs w:val="24"/>
              </w:rPr>
            </w:pPr>
            <w:r>
              <w:rPr>
                <w:rFonts w:hint="eastAsia" w:cs="宋体"/>
                <w:kern w:val="0"/>
                <w:sz w:val="22"/>
                <w:szCs w:val="24"/>
              </w:rPr>
              <w:t>加快建设信息共享、覆盖全市、与省网链接的投资项目在线审批监管平台。加快信息资源开放共享。</w:t>
            </w:r>
          </w:p>
        </w:tc>
        <w:tc>
          <w:tcPr>
            <w:tcW w:w="2246"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市发展和改革委员会牵头</w:t>
            </w:r>
          </w:p>
        </w:tc>
        <w:tc>
          <w:tcPr>
            <w:tcW w:w="2225" w:type="dxa"/>
            <w:tcMar>
              <w:top w:w="0" w:type="dxa"/>
              <w:left w:w="0" w:type="dxa"/>
              <w:bottom w:w="0" w:type="dxa"/>
              <w:right w:w="0" w:type="dxa"/>
            </w:tcMar>
            <w:vAlign w:val="center"/>
          </w:tcPr>
          <w:p>
            <w:pPr>
              <w:spacing w:line="302" w:lineRule="atLeast"/>
              <w:jc w:val="center"/>
              <w:rPr>
                <w:rFonts w:hint="eastAsia" w:cs="宋体"/>
                <w:kern w:val="0"/>
                <w:sz w:val="22"/>
                <w:szCs w:val="24"/>
              </w:rPr>
            </w:pPr>
            <w:r>
              <w:rPr>
                <w:rFonts w:hint="eastAsia" w:cs="宋体"/>
                <w:kern w:val="0"/>
                <w:sz w:val="22"/>
                <w:szCs w:val="24"/>
              </w:rPr>
              <w:t>2016年6月底前</w:t>
            </w:r>
          </w:p>
          <w:p>
            <w:pPr>
              <w:spacing w:line="302" w:lineRule="atLeast"/>
              <w:jc w:val="center"/>
              <w:rPr>
                <w:rFonts w:hint="eastAsia" w:cs="宋体"/>
                <w:kern w:val="0"/>
                <w:sz w:val="22"/>
                <w:szCs w:val="24"/>
              </w:rPr>
            </w:pPr>
            <w:r>
              <w:rPr>
                <w:rFonts w:hint="eastAsia" w:cs="宋体"/>
                <w:kern w:val="0"/>
                <w:sz w:val="22"/>
                <w:szCs w:val="24"/>
              </w:rPr>
              <w:t>实现与省在线审批</w:t>
            </w:r>
          </w:p>
          <w:p>
            <w:pPr>
              <w:spacing w:line="302" w:lineRule="atLeast"/>
              <w:jc w:val="center"/>
              <w:rPr>
                <w:rFonts w:cs="宋体"/>
                <w:sz w:val="22"/>
                <w:szCs w:val="24"/>
              </w:rPr>
            </w:pPr>
            <w:r>
              <w:rPr>
                <w:rFonts w:hint="eastAsia" w:cs="宋体"/>
                <w:kern w:val="0"/>
                <w:sz w:val="22"/>
                <w:szCs w:val="24"/>
              </w:rPr>
              <w:t>监管平台贯通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009" w:type="dxa"/>
            <w:gridSpan w:val="4"/>
            <w:tcMar>
              <w:top w:w="0" w:type="dxa"/>
              <w:left w:w="0" w:type="dxa"/>
              <w:bottom w:w="0" w:type="dxa"/>
              <w:right w:w="0" w:type="dxa"/>
            </w:tcMar>
            <w:vAlign w:val="center"/>
          </w:tcPr>
          <w:p>
            <w:pPr>
              <w:jc w:val="center"/>
              <w:rPr>
                <w:rFonts w:cs="宋体"/>
                <w:sz w:val="22"/>
                <w:szCs w:val="24"/>
              </w:rPr>
            </w:pPr>
            <w:r>
              <w:rPr>
                <w:rFonts w:hint="eastAsia" w:cs="宋体"/>
                <w:bCs/>
                <w:kern w:val="0"/>
                <w:sz w:val="22"/>
                <w:szCs w:val="24"/>
              </w:rPr>
              <w:t>三、深入推进职业资格改革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49" w:hRule="atLeast"/>
          <w:jc w:val="center"/>
        </w:trPr>
        <w:tc>
          <w:tcPr>
            <w:tcW w:w="524" w:type="dxa"/>
            <w:vAlign w:val="center"/>
          </w:tcPr>
          <w:p>
            <w:pPr>
              <w:spacing w:line="302" w:lineRule="atLeast"/>
              <w:jc w:val="center"/>
              <w:rPr>
                <w:rFonts w:cs="宋体"/>
                <w:sz w:val="22"/>
                <w:szCs w:val="24"/>
              </w:rPr>
            </w:pPr>
            <w:r>
              <w:rPr>
                <w:rFonts w:hint="eastAsia" w:cs="宋体"/>
                <w:kern w:val="0"/>
                <w:sz w:val="22"/>
                <w:szCs w:val="24"/>
              </w:rPr>
              <w:t>14</w:t>
            </w:r>
          </w:p>
        </w:tc>
        <w:tc>
          <w:tcPr>
            <w:tcW w:w="4014" w:type="dxa"/>
            <w:vAlign w:val="center"/>
          </w:tcPr>
          <w:p>
            <w:pPr>
              <w:spacing w:line="302" w:lineRule="atLeast"/>
              <w:rPr>
                <w:rFonts w:cs="宋体"/>
                <w:sz w:val="22"/>
                <w:szCs w:val="24"/>
              </w:rPr>
            </w:pPr>
            <w:r>
              <w:rPr>
                <w:rFonts w:hint="eastAsia" w:cs="宋体"/>
                <w:kern w:val="0"/>
                <w:sz w:val="22"/>
                <w:szCs w:val="24"/>
              </w:rPr>
              <w:t>认真落实国家、省职业资格相关政策、职业资格设置管理和职业技能开发有关规定。</w:t>
            </w:r>
          </w:p>
        </w:tc>
        <w:tc>
          <w:tcPr>
            <w:tcW w:w="2246" w:type="dxa"/>
            <w:tcMar>
              <w:top w:w="0" w:type="dxa"/>
              <w:left w:w="0" w:type="dxa"/>
              <w:bottom w:w="0" w:type="dxa"/>
              <w:right w:w="0" w:type="dxa"/>
            </w:tcMar>
            <w:vAlign w:val="center"/>
          </w:tcPr>
          <w:p>
            <w:pPr>
              <w:spacing w:line="302" w:lineRule="atLeast"/>
              <w:jc w:val="center"/>
              <w:rPr>
                <w:rFonts w:hint="eastAsia" w:cs="宋体"/>
                <w:kern w:val="0"/>
                <w:sz w:val="22"/>
                <w:szCs w:val="24"/>
              </w:rPr>
            </w:pPr>
            <w:r>
              <w:rPr>
                <w:rFonts w:hint="eastAsia" w:cs="宋体"/>
                <w:kern w:val="0"/>
                <w:sz w:val="22"/>
                <w:szCs w:val="24"/>
              </w:rPr>
              <w:t>市人力资源和社会保障局（市协调小组</w:t>
            </w:r>
          </w:p>
          <w:p>
            <w:pPr>
              <w:spacing w:line="302" w:lineRule="atLeast"/>
              <w:jc w:val="center"/>
              <w:rPr>
                <w:rFonts w:cs="宋体"/>
                <w:sz w:val="22"/>
                <w:szCs w:val="24"/>
              </w:rPr>
            </w:pPr>
            <w:r>
              <w:rPr>
                <w:rFonts w:hint="eastAsia" w:cs="宋体"/>
                <w:kern w:val="0"/>
                <w:sz w:val="22"/>
                <w:szCs w:val="24"/>
              </w:rPr>
              <w:t>职业资格改革组组长单位）牵头</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12月底前完成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319" w:hRule="atLeast"/>
          <w:jc w:val="center"/>
        </w:trPr>
        <w:tc>
          <w:tcPr>
            <w:tcW w:w="524" w:type="dxa"/>
            <w:vAlign w:val="center"/>
          </w:tcPr>
          <w:p>
            <w:pPr>
              <w:spacing w:line="302" w:lineRule="atLeast"/>
              <w:jc w:val="center"/>
              <w:rPr>
                <w:rFonts w:cs="宋体"/>
                <w:sz w:val="22"/>
                <w:szCs w:val="24"/>
              </w:rPr>
            </w:pPr>
            <w:r>
              <w:rPr>
                <w:rFonts w:hint="eastAsia" w:cs="宋体"/>
                <w:kern w:val="0"/>
                <w:sz w:val="22"/>
                <w:szCs w:val="24"/>
              </w:rPr>
              <w:t>15</w:t>
            </w:r>
          </w:p>
        </w:tc>
        <w:tc>
          <w:tcPr>
            <w:tcW w:w="4014" w:type="dxa"/>
            <w:vAlign w:val="center"/>
          </w:tcPr>
          <w:p>
            <w:pPr>
              <w:spacing w:line="302" w:lineRule="atLeast"/>
              <w:rPr>
                <w:rFonts w:cs="宋体"/>
                <w:sz w:val="22"/>
                <w:szCs w:val="24"/>
              </w:rPr>
            </w:pPr>
            <w:r>
              <w:rPr>
                <w:rFonts w:hint="eastAsia" w:cs="宋体"/>
                <w:kern w:val="0"/>
                <w:sz w:val="22"/>
                <w:szCs w:val="24"/>
              </w:rPr>
              <w:t>加强对职业资格实施的监管，进一步细化职业资格考试、鉴定工作管理规定，着力解决“挂证”、“助考”、“考培挂钩”等问题。</w:t>
            </w:r>
          </w:p>
        </w:tc>
        <w:tc>
          <w:tcPr>
            <w:tcW w:w="2246"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市人力资源和社会保障局牵头</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12月底前完成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519" w:hRule="atLeast"/>
          <w:jc w:val="center"/>
        </w:trPr>
        <w:tc>
          <w:tcPr>
            <w:tcW w:w="524" w:type="dxa"/>
            <w:vAlign w:val="center"/>
          </w:tcPr>
          <w:p>
            <w:pPr>
              <w:spacing w:line="302" w:lineRule="atLeast"/>
              <w:jc w:val="center"/>
              <w:rPr>
                <w:rFonts w:cs="宋体"/>
                <w:sz w:val="22"/>
                <w:szCs w:val="24"/>
              </w:rPr>
            </w:pPr>
            <w:r>
              <w:rPr>
                <w:rFonts w:hint="eastAsia" w:cs="宋体"/>
                <w:kern w:val="0"/>
                <w:sz w:val="22"/>
                <w:szCs w:val="24"/>
              </w:rPr>
              <w:t>16</w:t>
            </w:r>
          </w:p>
        </w:tc>
        <w:tc>
          <w:tcPr>
            <w:tcW w:w="4014" w:type="dxa"/>
            <w:vAlign w:val="center"/>
          </w:tcPr>
          <w:p>
            <w:pPr>
              <w:rPr>
                <w:rFonts w:cs="宋体"/>
                <w:sz w:val="22"/>
                <w:szCs w:val="24"/>
              </w:rPr>
            </w:pPr>
            <w:r>
              <w:rPr>
                <w:rFonts w:hint="eastAsia" w:cs="宋体"/>
                <w:sz w:val="22"/>
                <w:szCs w:val="24"/>
              </w:rPr>
              <w:t>加强对职业鉴定所（站）管理，严格按照相关规定审核批准职业鉴定（所）站，坚持职业技能鉴定中心资格审查前置，强化日常监督考核，完善职业技能鉴定所（站）退出机制。</w:t>
            </w:r>
          </w:p>
        </w:tc>
        <w:tc>
          <w:tcPr>
            <w:tcW w:w="2246"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市人力资源和社会保障局牵头</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12月底前完成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52" w:hRule="atLeast"/>
          <w:jc w:val="center"/>
        </w:trPr>
        <w:tc>
          <w:tcPr>
            <w:tcW w:w="524" w:type="dxa"/>
            <w:vAlign w:val="center"/>
          </w:tcPr>
          <w:p>
            <w:pPr>
              <w:spacing w:line="302" w:lineRule="atLeast"/>
              <w:jc w:val="center"/>
              <w:rPr>
                <w:rFonts w:cs="宋体"/>
                <w:sz w:val="22"/>
                <w:szCs w:val="24"/>
              </w:rPr>
            </w:pPr>
            <w:r>
              <w:rPr>
                <w:rFonts w:hint="eastAsia" w:cs="宋体"/>
                <w:kern w:val="0"/>
                <w:sz w:val="22"/>
                <w:szCs w:val="24"/>
              </w:rPr>
              <w:t>17</w:t>
            </w:r>
          </w:p>
        </w:tc>
        <w:tc>
          <w:tcPr>
            <w:tcW w:w="4014" w:type="dxa"/>
            <w:vAlign w:val="center"/>
          </w:tcPr>
          <w:p>
            <w:pPr>
              <w:spacing w:line="302" w:lineRule="atLeast"/>
              <w:rPr>
                <w:rFonts w:cs="宋体"/>
                <w:sz w:val="22"/>
                <w:szCs w:val="24"/>
              </w:rPr>
            </w:pPr>
            <w:r>
              <w:rPr>
                <w:rFonts w:hint="eastAsia" w:cs="宋体"/>
                <w:sz w:val="22"/>
                <w:szCs w:val="24"/>
              </w:rPr>
              <w:t>依照规定权限加强对本辖区行业职业资格鉴定管理指导工作。</w:t>
            </w:r>
          </w:p>
        </w:tc>
        <w:tc>
          <w:tcPr>
            <w:tcW w:w="2246"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市人力资源和社会保障局牵头</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12月底前完成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4" w:hRule="atLeast"/>
          <w:jc w:val="center"/>
        </w:trPr>
        <w:tc>
          <w:tcPr>
            <w:tcW w:w="524" w:type="dxa"/>
            <w:vAlign w:val="center"/>
          </w:tcPr>
          <w:p>
            <w:pPr>
              <w:spacing w:line="302" w:lineRule="atLeast"/>
              <w:jc w:val="center"/>
              <w:rPr>
                <w:rFonts w:cs="宋体"/>
                <w:sz w:val="22"/>
                <w:szCs w:val="24"/>
              </w:rPr>
            </w:pPr>
            <w:r>
              <w:rPr>
                <w:rFonts w:hint="eastAsia" w:cs="宋体"/>
                <w:kern w:val="0"/>
                <w:sz w:val="22"/>
                <w:szCs w:val="24"/>
              </w:rPr>
              <w:t>18</w:t>
            </w:r>
          </w:p>
        </w:tc>
        <w:tc>
          <w:tcPr>
            <w:tcW w:w="4014" w:type="dxa"/>
            <w:vAlign w:val="center"/>
          </w:tcPr>
          <w:p>
            <w:pPr>
              <w:rPr>
                <w:rFonts w:cs="宋体"/>
                <w:sz w:val="22"/>
                <w:szCs w:val="24"/>
              </w:rPr>
            </w:pPr>
            <w:r>
              <w:rPr>
                <w:rFonts w:hint="eastAsia" w:cs="宋体"/>
                <w:sz w:val="22"/>
                <w:szCs w:val="24"/>
              </w:rPr>
              <w:t>建立健全职业资格待遇兑现政策。</w:t>
            </w:r>
          </w:p>
        </w:tc>
        <w:tc>
          <w:tcPr>
            <w:tcW w:w="2246"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市人力资源和社会保障局牵头</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12月底前启动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009" w:type="dxa"/>
            <w:gridSpan w:val="4"/>
            <w:tcMar>
              <w:top w:w="0" w:type="dxa"/>
              <w:left w:w="0" w:type="dxa"/>
              <w:bottom w:w="0" w:type="dxa"/>
              <w:right w:w="0" w:type="dxa"/>
            </w:tcMar>
            <w:vAlign w:val="center"/>
          </w:tcPr>
          <w:p>
            <w:pPr>
              <w:jc w:val="center"/>
              <w:rPr>
                <w:rFonts w:cs="宋体"/>
                <w:sz w:val="22"/>
                <w:szCs w:val="24"/>
              </w:rPr>
            </w:pPr>
            <w:r>
              <w:rPr>
                <w:rFonts w:hint="eastAsia" w:cs="宋体"/>
                <w:bCs/>
                <w:kern w:val="0"/>
                <w:sz w:val="22"/>
                <w:szCs w:val="24"/>
              </w:rPr>
              <w:t>四、深入推进收费清理改革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266" w:hRule="atLeast"/>
          <w:jc w:val="center"/>
        </w:trPr>
        <w:tc>
          <w:tcPr>
            <w:tcW w:w="524" w:type="dxa"/>
            <w:vAlign w:val="center"/>
          </w:tcPr>
          <w:p>
            <w:pPr>
              <w:spacing w:line="302" w:lineRule="atLeast"/>
              <w:jc w:val="center"/>
              <w:rPr>
                <w:rFonts w:cs="宋体"/>
                <w:sz w:val="22"/>
                <w:szCs w:val="24"/>
              </w:rPr>
            </w:pPr>
            <w:r>
              <w:rPr>
                <w:rFonts w:hint="eastAsia" w:cs="宋体"/>
                <w:kern w:val="0"/>
                <w:sz w:val="22"/>
                <w:szCs w:val="24"/>
              </w:rPr>
              <w:t>19</w:t>
            </w:r>
          </w:p>
        </w:tc>
        <w:tc>
          <w:tcPr>
            <w:tcW w:w="4014" w:type="dxa"/>
            <w:vAlign w:val="center"/>
          </w:tcPr>
          <w:p>
            <w:pPr>
              <w:rPr>
                <w:rFonts w:cs="宋体"/>
                <w:sz w:val="22"/>
                <w:szCs w:val="24"/>
              </w:rPr>
            </w:pPr>
            <w:r>
              <w:rPr>
                <w:rFonts w:hint="eastAsia" w:cs="宋体"/>
                <w:kern w:val="0"/>
                <w:sz w:val="22"/>
                <w:szCs w:val="24"/>
              </w:rPr>
              <w:t>清理规范涉企收费行为。</w:t>
            </w:r>
            <w:r>
              <w:rPr>
                <w:rFonts w:hint="eastAsia" w:cs="宋体"/>
                <w:sz w:val="22"/>
                <w:szCs w:val="24"/>
              </w:rPr>
              <w:t>按照《河南省财政厅发展改革委工信委关于抓紧做好涉企收费专项清理规范工作的通知》（豫财综〔2015〕45号）要求</w:t>
            </w:r>
            <w:r>
              <w:rPr>
                <w:rFonts w:hint="eastAsia" w:cs="宋体"/>
                <w:kern w:val="0"/>
                <w:sz w:val="22"/>
                <w:szCs w:val="24"/>
              </w:rPr>
              <w:t>坚决取缔违规设立的收费基金项目，严格落实国家、省取消、停征和减免收费基金政策。对按规定权限设立的收费基金进行分类清理规范，清理规范强制垄断性的经营服务性收费，整顿规范行业协会、商会收费，实行涉企收费目录清单管理，加强收费监管。</w:t>
            </w:r>
          </w:p>
        </w:tc>
        <w:tc>
          <w:tcPr>
            <w:tcW w:w="2246"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市财政局（市协调小组收费清理改革组组长单位）牵头</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12月中旬完成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680" w:hRule="atLeast"/>
          <w:jc w:val="center"/>
        </w:trPr>
        <w:tc>
          <w:tcPr>
            <w:tcW w:w="524" w:type="dxa"/>
            <w:vAlign w:val="center"/>
          </w:tcPr>
          <w:p>
            <w:pPr>
              <w:spacing w:line="302" w:lineRule="atLeast"/>
              <w:jc w:val="center"/>
              <w:rPr>
                <w:rFonts w:cs="宋体"/>
                <w:sz w:val="22"/>
                <w:szCs w:val="24"/>
              </w:rPr>
            </w:pPr>
            <w:r>
              <w:rPr>
                <w:rFonts w:hint="eastAsia" w:cs="宋体"/>
                <w:kern w:val="0"/>
                <w:sz w:val="22"/>
                <w:szCs w:val="24"/>
              </w:rPr>
              <w:t>20</w:t>
            </w:r>
            <w:r>
              <w:rPr>
                <w:rFonts w:hint="eastAsia" w:cs="仿宋_GB2312"/>
                <w:kern w:val="0"/>
                <w:sz w:val="22"/>
                <w:szCs w:val="24"/>
              </w:rPr>
              <w:t></w:t>
            </w:r>
          </w:p>
        </w:tc>
        <w:tc>
          <w:tcPr>
            <w:tcW w:w="4014" w:type="dxa"/>
            <w:vAlign w:val="center"/>
          </w:tcPr>
          <w:p>
            <w:pPr>
              <w:spacing w:line="340" w:lineRule="exact"/>
              <w:rPr>
                <w:rFonts w:cs="宋体"/>
                <w:sz w:val="22"/>
                <w:szCs w:val="24"/>
              </w:rPr>
            </w:pPr>
            <w:r>
              <w:rPr>
                <w:rFonts w:hint="eastAsia" w:cs="宋体"/>
                <w:sz w:val="22"/>
                <w:szCs w:val="24"/>
              </w:rPr>
              <w:t>清理规范政府性基金项目，公布有关收费基金目录清单。根据省财政厅和我市涉企收费专项清理情况，及时调整和公布《河南省行政事业性收费目录清单》，同时由发展改革部门公布经营性收费目录清单。根据省财政厅政府性基金清理情况，及时公布《河南省政府性基金目录清单》。</w:t>
            </w:r>
          </w:p>
        </w:tc>
        <w:tc>
          <w:tcPr>
            <w:tcW w:w="2246"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市财政局牵头</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12月中旬完成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465" w:hRule="atLeast"/>
          <w:jc w:val="center"/>
        </w:trPr>
        <w:tc>
          <w:tcPr>
            <w:tcW w:w="524" w:type="dxa"/>
            <w:vAlign w:val="center"/>
          </w:tcPr>
          <w:p>
            <w:pPr>
              <w:spacing w:line="302" w:lineRule="atLeast"/>
              <w:jc w:val="center"/>
              <w:rPr>
                <w:rFonts w:cs="宋体"/>
                <w:sz w:val="22"/>
                <w:szCs w:val="24"/>
              </w:rPr>
            </w:pPr>
            <w:r>
              <w:rPr>
                <w:rFonts w:hint="eastAsia" w:cs="宋体"/>
                <w:kern w:val="0"/>
                <w:sz w:val="22"/>
                <w:szCs w:val="24"/>
              </w:rPr>
              <w:t>21</w:t>
            </w:r>
          </w:p>
        </w:tc>
        <w:tc>
          <w:tcPr>
            <w:tcW w:w="4014" w:type="dxa"/>
            <w:vAlign w:val="center"/>
          </w:tcPr>
          <w:p>
            <w:pPr>
              <w:spacing w:line="340" w:lineRule="exact"/>
              <w:rPr>
                <w:rFonts w:cs="宋体"/>
                <w:sz w:val="22"/>
                <w:szCs w:val="24"/>
              </w:rPr>
            </w:pPr>
            <w:r>
              <w:rPr>
                <w:rFonts w:hint="eastAsia" w:cs="宋体"/>
                <w:kern w:val="0"/>
                <w:sz w:val="22"/>
                <w:szCs w:val="24"/>
              </w:rPr>
              <w:t>建立常态化公示制度。《河南省行政事业性收费目录清单》和《河南省政府性基金目录清单》公布后，对以后新增或取消的收费项目实行科学化、标准化、动态化管理，建立常态化公示制度，以便企业和社会公众能方便、及时知晓各项涉企收费项目政策内容和实施情况。</w:t>
            </w:r>
          </w:p>
        </w:tc>
        <w:tc>
          <w:tcPr>
            <w:tcW w:w="2246"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市财政局牵头</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19" w:hRule="atLeast"/>
          <w:jc w:val="center"/>
        </w:trPr>
        <w:tc>
          <w:tcPr>
            <w:tcW w:w="524" w:type="dxa"/>
            <w:vAlign w:val="center"/>
          </w:tcPr>
          <w:p>
            <w:pPr>
              <w:spacing w:line="302" w:lineRule="atLeast"/>
              <w:jc w:val="center"/>
              <w:rPr>
                <w:rFonts w:cs="宋体"/>
                <w:sz w:val="22"/>
                <w:szCs w:val="24"/>
              </w:rPr>
            </w:pPr>
            <w:r>
              <w:rPr>
                <w:rFonts w:hint="eastAsia" w:cs="宋体"/>
                <w:kern w:val="0"/>
                <w:sz w:val="22"/>
                <w:szCs w:val="24"/>
              </w:rPr>
              <w:t>22</w:t>
            </w:r>
          </w:p>
        </w:tc>
        <w:tc>
          <w:tcPr>
            <w:tcW w:w="4014" w:type="dxa"/>
            <w:vAlign w:val="center"/>
          </w:tcPr>
          <w:p>
            <w:pPr>
              <w:spacing w:line="340" w:lineRule="exact"/>
              <w:rPr>
                <w:rFonts w:cs="宋体"/>
                <w:sz w:val="22"/>
                <w:szCs w:val="24"/>
              </w:rPr>
            </w:pPr>
            <w:r>
              <w:rPr>
                <w:rFonts w:hint="eastAsia" w:cs="宋体"/>
                <w:kern w:val="0"/>
                <w:sz w:val="22"/>
                <w:szCs w:val="24"/>
              </w:rPr>
              <w:t>严控新增项目，巩固清理成果。除国家法律、法规规定外，原则上不出台新的收费项目，对确实符合新增项目必要条件的，对项目设立的必要性、可行性进行充分评估论证，从严把关。加强收费监督检查，跟踪了解政策落实情况，了解企业诉求，及时纠正并查处乱收费问题。</w:t>
            </w:r>
          </w:p>
        </w:tc>
        <w:tc>
          <w:tcPr>
            <w:tcW w:w="2246"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市财政局牵头</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009" w:type="dxa"/>
            <w:gridSpan w:val="4"/>
            <w:tcMar>
              <w:top w:w="0" w:type="dxa"/>
              <w:left w:w="0" w:type="dxa"/>
              <w:bottom w:w="0" w:type="dxa"/>
              <w:right w:w="0" w:type="dxa"/>
            </w:tcMar>
            <w:vAlign w:val="center"/>
          </w:tcPr>
          <w:p>
            <w:pPr>
              <w:jc w:val="center"/>
              <w:rPr>
                <w:rFonts w:cs="宋体"/>
                <w:sz w:val="22"/>
                <w:szCs w:val="24"/>
              </w:rPr>
            </w:pPr>
            <w:r>
              <w:rPr>
                <w:rFonts w:hint="eastAsia" w:cs="宋体"/>
                <w:bCs/>
                <w:kern w:val="0"/>
                <w:sz w:val="22"/>
                <w:szCs w:val="24"/>
              </w:rPr>
              <w:t>五、深入推进商事制度改革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82" w:hRule="atLeast"/>
          <w:jc w:val="center"/>
        </w:trPr>
        <w:tc>
          <w:tcPr>
            <w:tcW w:w="524" w:type="dxa"/>
            <w:vAlign w:val="center"/>
          </w:tcPr>
          <w:p>
            <w:pPr>
              <w:spacing w:line="302" w:lineRule="atLeast"/>
              <w:jc w:val="center"/>
              <w:rPr>
                <w:rFonts w:cs="宋体"/>
                <w:sz w:val="22"/>
                <w:szCs w:val="24"/>
              </w:rPr>
            </w:pPr>
            <w:r>
              <w:rPr>
                <w:rFonts w:hint="eastAsia" w:cs="宋体"/>
                <w:kern w:val="0"/>
                <w:sz w:val="22"/>
                <w:szCs w:val="24"/>
              </w:rPr>
              <w:t>23</w:t>
            </w:r>
          </w:p>
        </w:tc>
        <w:tc>
          <w:tcPr>
            <w:tcW w:w="4014" w:type="dxa"/>
            <w:vAlign w:val="center"/>
          </w:tcPr>
          <w:p>
            <w:pPr>
              <w:spacing w:line="302" w:lineRule="atLeast"/>
              <w:rPr>
                <w:rFonts w:cs="宋体"/>
                <w:sz w:val="22"/>
                <w:szCs w:val="24"/>
              </w:rPr>
            </w:pPr>
            <w:r>
              <w:rPr>
                <w:rFonts w:hint="eastAsia" w:cs="宋体"/>
                <w:kern w:val="0"/>
                <w:sz w:val="22"/>
                <w:szCs w:val="24"/>
              </w:rPr>
              <w:t>加快实施“三证合一”改革，加强与相关部门沟通协调，确保2015年实现“一照一码”。</w:t>
            </w:r>
          </w:p>
        </w:tc>
        <w:tc>
          <w:tcPr>
            <w:tcW w:w="2246"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市工商行政管理局（市协调小组商事制度改革组组长单位）牵头</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10月底前完成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94" w:hRule="atLeast"/>
          <w:jc w:val="center"/>
        </w:trPr>
        <w:tc>
          <w:tcPr>
            <w:tcW w:w="524" w:type="dxa"/>
            <w:vAlign w:val="center"/>
          </w:tcPr>
          <w:p>
            <w:pPr>
              <w:spacing w:line="302" w:lineRule="atLeast"/>
              <w:jc w:val="center"/>
              <w:rPr>
                <w:rFonts w:cs="宋体"/>
                <w:sz w:val="22"/>
                <w:szCs w:val="24"/>
              </w:rPr>
            </w:pPr>
            <w:r>
              <w:rPr>
                <w:rFonts w:hint="eastAsia" w:cs="宋体"/>
                <w:kern w:val="0"/>
                <w:sz w:val="22"/>
                <w:szCs w:val="24"/>
              </w:rPr>
              <w:t>24</w:t>
            </w:r>
          </w:p>
        </w:tc>
        <w:tc>
          <w:tcPr>
            <w:tcW w:w="4014" w:type="dxa"/>
            <w:vAlign w:val="center"/>
          </w:tcPr>
          <w:p>
            <w:pPr>
              <w:spacing w:line="302" w:lineRule="atLeast"/>
              <w:rPr>
                <w:rFonts w:cs="宋体"/>
                <w:sz w:val="22"/>
                <w:szCs w:val="24"/>
              </w:rPr>
            </w:pPr>
            <w:r>
              <w:rPr>
                <w:rFonts w:hint="eastAsia" w:cs="宋体"/>
                <w:kern w:val="0"/>
                <w:sz w:val="22"/>
                <w:szCs w:val="24"/>
              </w:rPr>
              <w:t>落实国务院注册资本登记制度改革要求，降低各类市场主体准入门槛。</w:t>
            </w:r>
          </w:p>
        </w:tc>
        <w:tc>
          <w:tcPr>
            <w:tcW w:w="2246" w:type="dxa"/>
            <w:tcMar>
              <w:top w:w="0" w:type="dxa"/>
              <w:left w:w="0" w:type="dxa"/>
              <w:bottom w:w="0" w:type="dxa"/>
              <w:right w:w="0" w:type="dxa"/>
            </w:tcMar>
            <w:vAlign w:val="center"/>
          </w:tcPr>
          <w:p>
            <w:pPr>
              <w:spacing w:line="302" w:lineRule="atLeast"/>
              <w:jc w:val="center"/>
              <w:rPr>
                <w:rFonts w:cs="宋体"/>
                <w:spacing w:val="0"/>
                <w:sz w:val="22"/>
                <w:szCs w:val="22"/>
              </w:rPr>
            </w:pPr>
            <w:r>
              <w:rPr>
                <w:rFonts w:hint="eastAsia" w:cs="宋体"/>
                <w:spacing w:val="0"/>
                <w:kern w:val="0"/>
                <w:sz w:val="22"/>
                <w:szCs w:val="22"/>
              </w:rPr>
              <w:t>市工商行政管理局牵头</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12月底前完成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16" w:hRule="atLeast"/>
          <w:jc w:val="center"/>
        </w:trPr>
        <w:tc>
          <w:tcPr>
            <w:tcW w:w="524" w:type="dxa"/>
            <w:vAlign w:val="center"/>
          </w:tcPr>
          <w:p>
            <w:pPr>
              <w:spacing w:line="302" w:lineRule="atLeast"/>
              <w:jc w:val="center"/>
              <w:rPr>
                <w:rFonts w:cs="宋体"/>
                <w:sz w:val="22"/>
                <w:szCs w:val="24"/>
              </w:rPr>
            </w:pPr>
            <w:r>
              <w:rPr>
                <w:rFonts w:hint="eastAsia" w:cs="宋体"/>
                <w:kern w:val="0"/>
                <w:sz w:val="22"/>
                <w:szCs w:val="24"/>
              </w:rPr>
              <w:t>25</w:t>
            </w:r>
          </w:p>
        </w:tc>
        <w:tc>
          <w:tcPr>
            <w:tcW w:w="4014" w:type="dxa"/>
            <w:vAlign w:val="center"/>
          </w:tcPr>
          <w:p>
            <w:pPr>
              <w:spacing w:line="302" w:lineRule="atLeast"/>
              <w:rPr>
                <w:rFonts w:cs="宋体"/>
                <w:sz w:val="22"/>
                <w:szCs w:val="24"/>
              </w:rPr>
            </w:pPr>
            <w:r>
              <w:rPr>
                <w:rFonts w:hint="eastAsia" w:cs="宋体"/>
                <w:sz w:val="22"/>
                <w:szCs w:val="24"/>
              </w:rPr>
              <w:t>深入推进“先照后证”改革。坚持“市场主体法不禁止即可为”，对改为后置的许可审批事项以及法律、行政法规和国务院决定之外设定的许可审批事项，一律不作为工商登记前置，畅通协调有关部门，加快清理工商登记前置审批项目，规范企业登记工作。</w:t>
            </w:r>
          </w:p>
        </w:tc>
        <w:tc>
          <w:tcPr>
            <w:tcW w:w="2246" w:type="dxa"/>
            <w:tcMar>
              <w:top w:w="0" w:type="dxa"/>
              <w:left w:w="0" w:type="dxa"/>
              <w:bottom w:w="0" w:type="dxa"/>
              <w:right w:w="0" w:type="dxa"/>
            </w:tcMar>
            <w:vAlign w:val="center"/>
          </w:tcPr>
          <w:p>
            <w:pPr>
              <w:spacing w:line="302" w:lineRule="atLeast"/>
              <w:jc w:val="center"/>
              <w:rPr>
                <w:rFonts w:cs="宋体"/>
                <w:spacing w:val="0"/>
                <w:sz w:val="22"/>
                <w:szCs w:val="22"/>
              </w:rPr>
            </w:pPr>
            <w:r>
              <w:rPr>
                <w:rFonts w:hint="eastAsia" w:cs="宋体"/>
                <w:spacing w:val="0"/>
                <w:kern w:val="0"/>
                <w:sz w:val="22"/>
                <w:szCs w:val="22"/>
              </w:rPr>
              <w:t>市工商行政管理局牵头</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10月底前完成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105" w:hRule="atLeast"/>
          <w:jc w:val="center"/>
        </w:trPr>
        <w:tc>
          <w:tcPr>
            <w:tcW w:w="524" w:type="dxa"/>
            <w:vAlign w:val="center"/>
          </w:tcPr>
          <w:p>
            <w:pPr>
              <w:spacing w:line="302" w:lineRule="atLeast"/>
              <w:jc w:val="center"/>
              <w:rPr>
                <w:rFonts w:cs="宋体"/>
                <w:sz w:val="22"/>
                <w:szCs w:val="24"/>
              </w:rPr>
            </w:pPr>
            <w:r>
              <w:rPr>
                <w:rFonts w:hint="eastAsia" w:cs="宋体"/>
                <w:kern w:val="0"/>
                <w:sz w:val="22"/>
                <w:szCs w:val="24"/>
              </w:rPr>
              <w:t>26</w:t>
            </w:r>
            <w:r>
              <w:rPr>
                <w:rFonts w:hint="eastAsia" w:cs="仿宋_GB2312"/>
                <w:kern w:val="0"/>
                <w:sz w:val="22"/>
                <w:szCs w:val="24"/>
              </w:rPr>
              <w:t></w:t>
            </w:r>
          </w:p>
        </w:tc>
        <w:tc>
          <w:tcPr>
            <w:tcW w:w="4014" w:type="dxa"/>
            <w:vAlign w:val="center"/>
          </w:tcPr>
          <w:p>
            <w:pPr>
              <w:spacing w:line="280" w:lineRule="exact"/>
              <w:rPr>
                <w:rFonts w:cs="宋体"/>
                <w:sz w:val="22"/>
                <w:szCs w:val="24"/>
              </w:rPr>
            </w:pPr>
            <w:r>
              <w:rPr>
                <w:rFonts w:hint="eastAsia" w:cs="宋体"/>
                <w:sz w:val="22"/>
                <w:szCs w:val="24"/>
              </w:rPr>
              <w:t>按照工商总局推进企业信用信息公示“全国一张网”建设要求，根据《企业信息公示暂行条例》及相关配套规章的规定，认真落实省工商局的部署，按时完成各项企业信息抽查工作。根据企业抽查结果，组织开展企业经营异常名录确认和公示工作。加强同相关行政部门的沟通协作，在与税务等有关部门签订企业联合惩戒备忘录的基础上，进一步建立完善信息共享机制和信用约束机制，推动企业信息互联共享，对列入经营异常名录或严重违法企业名单的企业进行限制，实现违法主体一处违法、处处受限。</w:t>
            </w:r>
          </w:p>
        </w:tc>
        <w:tc>
          <w:tcPr>
            <w:tcW w:w="2246" w:type="dxa"/>
            <w:tcMar>
              <w:top w:w="0" w:type="dxa"/>
              <w:left w:w="0" w:type="dxa"/>
              <w:bottom w:w="0" w:type="dxa"/>
              <w:right w:w="0" w:type="dxa"/>
            </w:tcMar>
            <w:vAlign w:val="center"/>
          </w:tcPr>
          <w:p>
            <w:pPr>
              <w:spacing w:line="302" w:lineRule="atLeast"/>
              <w:jc w:val="center"/>
              <w:rPr>
                <w:rFonts w:cs="宋体"/>
                <w:spacing w:val="0"/>
                <w:sz w:val="22"/>
                <w:szCs w:val="22"/>
              </w:rPr>
            </w:pPr>
            <w:r>
              <w:rPr>
                <w:rFonts w:hint="eastAsia" w:cs="宋体"/>
                <w:spacing w:val="0"/>
                <w:kern w:val="0"/>
                <w:sz w:val="22"/>
                <w:szCs w:val="22"/>
              </w:rPr>
              <w:t>市工商行政管理局牵头</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617" w:hRule="atLeast"/>
          <w:jc w:val="center"/>
        </w:trPr>
        <w:tc>
          <w:tcPr>
            <w:tcW w:w="524" w:type="dxa"/>
            <w:vAlign w:val="center"/>
          </w:tcPr>
          <w:p>
            <w:pPr>
              <w:spacing w:line="302" w:lineRule="atLeast"/>
              <w:jc w:val="center"/>
              <w:rPr>
                <w:rFonts w:cs="宋体"/>
                <w:sz w:val="22"/>
                <w:szCs w:val="24"/>
              </w:rPr>
            </w:pPr>
            <w:r>
              <w:rPr>
                <w:rFonts w:hint="eastAsia" w:cs="宋体"/>
                <w:kern w:val="0"/>
                <w:sz w:val="22"/>
                <w:szCs w:val="24"/>
              </w:rPr>
              <w:t>27</w:t>
            </w:r>
          </w:p>
        </w:tc>
        <w:tc>
          <w:tcPr>
            <w:tcW w:w="4014" w:type="dxa"/>
            <w:vAlign w:val="center"/>
          </w:tcPr>
          <w:p>
            <w:pPr>
              <w:spacing w:line="302" w:lineRule="atLeast"/>
              <w:rPr>
                <w:rFonts w:cs="宋体"/>
                <w:sz w:val="22"/>
                <w:szCs w:val="24"/>
              </w:rPr>
            </w:pPr>
            <w:r>
              <w:rPr>
                <w:rFonts w:hint="eastAsia" w:cs="宋体"/>
                <w:kern w:val="0"/>
                <w:sz w:val="22"/>
                <w:szCs w:val="24"/>
              </w:rPr>
              <w:t>继续创新优化登记方式，认真做好工商总局关于改革企业名称登记、经营范围登记、企业集团登记、简化和完善企业注销流程等政策规定的落实工作，进一步放宽市场准入管制。</w:t>
            </w:r>
          </w:p>
        </w:tc>
        <w:tc>
          <w:tcPr>
            <w:tcW w:w="2246" w:type="dxa"/>
            <w:tcMar>
              <w:top w:w="0" w:type="dxa"/>
              <w:left w:w="0" w:type="dxa"/>
              <w:bottom w:w="0" w:type="dxa"/>
              <w:right w:w="0" w:type="dxa"/>
            </w:tcMar>
            <w:vAlign w:val="center"/>
          </w:tcPr>
          <w:p>
            <w:pPr>
              <w:spacing w:line="302" w:lineRule="atLeast"/>
              <w:jc w:val="center"/>
              <w:rPr>
                <w:rFonts w:cs="宋体"/>
                <w:spacing w:val="0"/>
                <w:sz w:val="22"/>
                <w:szCs w:val="22"/>
              </w:rPr>
            </w:pPr>
            <w:r>
              <w:rPr>
                <w:rFonts w:hint="eastAsia" w:cs="宋体"/>
                <w:spacing w:val="0"/>
                <w:kern w:val="0"/>
                <w:sz w:val="22"/>
                <w:szCs w:val="22"/>
              </w:rPr>
              <w:t>市工商行政管理局牵头</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589" w:hRule="atLeast"/>
          <w:jc w:val="center"/>
        </w:trPr>
        <w:tc>
          <w:tcPr>
            <w:tcW w:w="524" w:type="dxa"/>
            <w:vAlign w:val="center"/>
          </w:tcPr>
          <w:p>
            <w:pPr>
              <w:spacing w:line="302" w:lineRule="atLeast"/>
              <w:jc w:val="center"/>
              <w:rPr>
                <w:rFonts w:cs="宋体"/>
                <w:sz w:val="22"/>
                <w:szCs w:val="24"/>
              </w:rPr>
            </w:pPr>
            <w:r>
              <w:rPr>
                <w:rFonts w:hint="eastAsia" w:cs="宋体"/>
                <w:sz w:val="22"/>
                <w:szCs w:val="24"/>
              </w:rPr>
              <w:t>28</w:t>
            </w:r>
          </w:p>
        </w:tc>
        <w:tc>
          <w:tcPr>
            <w:tcW w:w="4014" w:type="dxa"/>
            <w:vAlign w:val="center"/>
          </w:tcPr>
          <w:p>
            <w:pPr>
              <w:spacing w:line="302" w:lineRule="atLeast"/>
              <w:rPr>
                <w:rFonts w:cs="宋体"/>
                <w:sz w:val="22"/>
                <w:szCs w:val="24"/>
              </w:rPr>
            </w:pPr>
            <w:r>
              <w:rPr>
                <w:rFonts w:hint="eastAsia" w:cs="宋体"/>
                <w:kern w:val="0"/>
                <w:sz w:val="22"/>
                <w:szCs w:val="24"/>
              </w:rPr>
              <w:t>积极推进电子营业执照和</w:t>
            </w:r>
            <w:r>
              <w:rPr>
                <w:rFonts w:hint="eastAsia" w:cs="宋体"/>
                <w:sz w:val="22"/>
                <w:szCs w:val="24"/>
              </w:rPr>
              <w:t>全程电子化登记。积极推行以电子营业执照为支撑的网上申请、网上受理、网上审核、网上发照和网上公示，</w:t>
            </w:r>
            <w:r>
              <w:rPr>
                <w:rFonts w:hint="eastAsia" w:cs="宋体"/>
                <w:kern w:val="0"/>
                <w:sz w:val="22"/>
                <w:szCs w:val="24"/>
              </w:rPr>
              <w:t>努力提高企业登记管理信息化、便利化、规范化水平。</w:t>
            </w:r>
          </w:p>
        </w:tc>
        <w:tc>
          <w:tcPr>
            <w:tcW w:w="2246" w:type="dxa"/>
            <w:tcMar>
              <w:top w:w="0" w:type="dxa"/>
              <w:left w:w="0" w:type="dxa"/>
              <w:bottom w:w="0" w:type="dxa"/>
              <w:right w:w="0" w:type="dxa"/>
            </w:tcMar>
            <w:vAlign w:val="center"/>
          </w:tcPr>
          <w:p>
            <w:pPr>
              <w:spacing w:line="302" w:lineRule="atLeast"/>
              <w:jc w:val="center"/>
              <w:rPr>
                <w:rFonts w:cs="宋体"/>
                <w:spacing w:val="0"/>
                <w:sz w:val="22"/>
                <w:szCs w:val="22"/>
              </w:rPr>
            </w:pPr>
            <w:r>
              <w:rPr>
                <w:rFonts w:hint="eastAsia" w:cs="宋体"/>
                <w:spacing w:val="0"/>
                <w:kern w:val="0"/>
                <w:sz w:val="22"/>
                <w:szCs w:val="22"/>
              </w:rPr>
              <w:t>市工商行政管理局牵头</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12月底前完成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009" w:type="dxa"/>
            <w:gridSpan w:val="4"/>
            <w:tcMar>
              <w:top w:w="0" w:type="dxa"/>
              <w:left w:w="0" w:type="dxa"/>
              <w:bottom w:w="0" w:type="dxa"/>
              <w:right w:w="0" w:type="dxa"/>
            </w:tcMar>
            <w:vAlign w:val="center"/>
          </w:tcPr>
          <w:p>
            <w:pPr>
              <w:jc w:val="center"/>
              <w:rPr>
                <w:rFonts w:cs="宋体"/>
                <w:sz w:val="22"/>
                <w:szCs w:val="24"/>
              </w:rPr>
            </w:pPr>
            <w:r>
              <w:rPr>
                <w:rFonts w:hint="eastAsia" w:cs="宋体"/>
                <w:bCs/>
                <w:kern w:val="0"/>
                <w:sz w:val="22"/>
                <w:szCs w:val="24"/>
              </w:rPr>
              <w:t>六、深入推进教科文卫体领域相关改革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82" w:hRule="atLeast"/>
          <w:jc w:val="center"/>
        </w:trPr>
        <w:tc>
          <w:tcPr>
            <w:tcW w:w="524" w:type="dxa"/>
            <w:vAlign w:val="center"/>
          </w:tcPr>
          <w:p>
            <w:pPr>
              <w:spacing w:line="302" w:lineRule="atLeast"/>
              <w:jc w:val="center"/>
              <w:rPr>
                <w:rFonts w:cs="宋体"/>
                <w:sz w:val="22"/>
                <w:szCs w:val="24"/>
              </w:rPr>
            </w:pPr>
            <w:r>
              <w:rPr>
                <w:rFonts w:hint="eastAsia" w:cs="宋体"/>
                <w:sz w:val="22"/>
                <w:szCs w:val="24"/>
              </w:rPr>
              <w:t>29</w:t>
            </w:r>
          </w:p>
        </w:tc>
        <w:tc>
          <w:tcPr>
            <w:tcW w:w="4014" w:type="dxa"/>
            <w:vAlign w:val="center"/>
          </w:tcPr>
          <w:p>
            <w:pPr>
              <w:rPr>
                <w:rFonts w:cs="宋体"/>
                <w:sz w:val="22"/>
                <w:szCs w:val="24"/>
              </w:rPr>
            </w:pPr>
            <w:r>
              <w:rPr>
                <w:rFonts w:hint="eastAsia" w:cs="宋体"/>
                <w:kern w:val="0"/>
                <w:sz w:val="22"/>
                <w:szCs w:val="24"/>
              </w:rPr>
              <w:t>营造良好的创业创新环境。适应互联网、大数据等技术日新月异的趋势，围绕打造大众创业、万众创新和增加公共产品、公共服务“双引擎”，</w:t>
            </w:r>
            <w:r>
              <w:rPr>
                <w:rFonts w:hint="eastAsia" w:cs="宋体"/>
                <w:sz w:val="22"/>
                <w:szCs w:val="24"/>
              </w:rPr>
              <w:t>出台《关于发展众创空间推进大众创新创业的实施意见》、《济源市众创空间扶持办法》等文件，</w:t>
            </w:r>
            <w:r>
              <w:rPr>
                <w:rFonts w:hint="eastAsia" w:cs="宋体"/>
                <w:kern w:val="0"/>
                <w:sz w:val="22"/>
                <w:szCs w:val="24"/>
              </w:rPr>
              <w:t>主动开拓为企业和群众服务的新形式、新途径，营造良好的创业创新环境。</w:t>
            </w:r>
          </w:p>
        </w:tc>
        <w:tc>
          <w:tcPr>
            <w:tcW w:w="2246" w:type="dxa"/>
            <w:tcMar>
              <w:top w:w="0" w:type="dxa"/>
              <w:left w:w="0" w:type="dxa"/>
              <w:bottom w:w="0" w:type="dxa"/>
              <w:right w:w="0" w:type="dxa"/>
            </w:tcMar>
            <w:vAlign w:val="center"/>
          </w:tcPr>
          <w:p>
            <w:pPr>
              <w:spacing w:line="302" w:lineRule="atLeast"/>
              <w:jc w:val="center"/>
              <w:rPr>
                <w:rFonts w:hint="eastAsia" w:cs="宋体"/>
                <w:kern w:val="0"/>
                <w:sz w:val="22"/>
                <w:szCs w:val="24"/>
              </w:rPr>
            </w:pPr>
            <w:r>
              <w:rPr>
                <w:rFonts w:hint="eastAsia" w:cs="宋体"/>
                <w:kern w:val="0"/>
                <w:sz w:val="22"/>
                <w:szCs w:val="24"/>
              </w:rPr>
              <w:t>市教育局、科学技术局、文化广电新闻出版局、卫生和计划生育委员会、体育局（市协调</w:t>
            </w:r>
          </w:p>
          <w:p>
            <w:pPr>
              <w:spacing w:line="302" w:lineRule="atLeast"/>
              <w:jc w:val="center"/>
              <w:rPr>
                <w:rFonts w:hint="eastAsia" w:cs="宋体"/>
                <w:kern w:val="0"/>
                <w:sz w:val="22"/>
                <w:szCs w:val="24"/>
              </w:rPr>
            </w:pPr>
            <w:r>
              <w:rPr>
                <w:rFonts w:hint="eastAsia" w:cs="宋体"/>
                <w:kern w:val="0"/>
                <w:sz w:val="22"/>
                <w:szCs w:val="24"/>
              </w:rPr>
              <w:t>小组科教文卫体改革</w:t>
            </w:r>
          </w:p>
          <w:p>
            <w:pPr>
              <w:spacing w:line="302" w:lineRule="atLeast"/>
              <w:jc w:val="center"/>
              <w:rPr>
                <w:rFonts w:cs="宋体"/>
                <w:sz w:val="22"/>
                <w:szCs w:val="24"/>
              </w:rPr>
            </w:pPr>
            <w:r>
              <w:rPr>
                <w:rFonts w:hint="eastAsia" w:cs="宋体"/>
                <w:kern w:val="0"/>
                <w:sz w:val="22"/>
                <w:szCs w:val="24"/>
              </w:rPr>
              <w:t>组成员单位）分别负责</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86" w:hRule="atLeast"/>
          <w:jc w:val="center"/>
        </w:trPr>
        <w:tc>
          <w:tcPr>
            <w:tcW w:w="524" w:type="dxa"/>
            <w:vAlign w:val="center"/>
          </w:tcPr>
          <w:p>
            <w:pPr>
              <w:spacing w:line="302" w:lineRule="atLeast"/>
              <w:jc w:val="center"/>
              <w:rPr>
                <w:rFonts w:cs="宋体"/>
                <w:sz w:val="22"/>
                <w:szCs w:val="24"/>
              </w:rPr>
            </w:pPr>
            <w:r>
              <w:rPr>
                <w:rFonts w:hint="eastAsia" w:cs="宋体"/>
                <w:kern w:val="0"/>
                <w:sz w:val="22"/>
                <w:szCs w:val="24"/>
              </w:rPr>
              <w:t>30</w:t>
            </w:r>
          </w:p>
        </w:tc>
        <w:tc>
          <w:tcPr>
            <w:tcW w:w="4014" w:type="dxa"/>
            <w:vAlign w:val="center"/>
          </w:tcPr>
          <w:p>
            <w:pPr>
              <w:rPr>
                <w:rFonts w:cs="宋体"/>
                <w:sz w:val="22"/>
                <w:szCs w:val="24"/>
              </w:rPr>
            </w:pPr>
            <w:r>
              <w:rPr>
                <w:rFonts w:hint="eastAsia" w:cs="宋体"/>
                <w:sz w:val="22"/>
                <w:szCs w:val="24"/>
              </w:rPr>
              <w:t>研究加强对科教文卫体领域承接省级下放的行政审批事项的事中事后监管措施。落实科教文卫体领域取消和省级下放的行政审批事项；检查事中事后监管措施是否及时跟上、有力有效，是否存在监管漏洞和衔接缝隙，对发现的问题进行整改。开展行政审批标准化试点，以标准化促进规范化。</w:t>
            </w:r>
          </w:p>
        </w:tc>
        <w:tc>
          <w:tcPr>
            <w:tcW w:w="2246"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市教育局、科学技术局、文化广电新闻出版局、卫生和计划生育委员会、体育局分别负责</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13" w:hRule="atLeast"/>
          <w:jc w:val="center"/>
        </w:trPr>
        <w:tc>
          <w:tcPr>
            <w:tcW w:w="524" w:type="dxa"/>
            <w:vAlign w:val="center"/>
          </w:tcPr>
          <w:p>
            <w:pPr>
              <w:spacing w:line="302" w:lineRule="atLeast"/>
              <w:jc w:val="center"/>
              <w:rPr>
                <w:rFonts w:cs="宋体"/>
                <w:sz w:val="22"/>
                <w:szCs w:val="24"/>
              </w:rPr>
            </w:pPr>
            <w:r>
              <w:rPr>
                <w:rFonts w:hint="eastAsia" w:cs="宋体"/>
                <w:kern w:val="0"/>
                <w:sz w:val="22"/>
                <w:szCs w:val="24"/>
              </w:rPr>
              <w:t>31</w:t>
            </w:r>
          </w:p>
        </w:tc>
        <w:tc>
          <w:tcPr>
            <w:tcW w:w="4014" w:type="dxa"/>
            <w:vAlign w:val="center"/>
          </w:tcPr>
          <w:p>
            <w:pPr>
              <w:spacing w:line="360" w:lineRule="exact"/>
              <w:rPr>
                <w:rFonts w:cs="宋体"/>
                <w:sz w:val="22"/>
                <w:szCs w:val="24"/>
              </w:rPr>
            </w:pPr>
            <w:r>
              <w:rPr>
                <w:rFonts w:hint="eastAsia" w:cs="宋体"/>
                <w:kern w:val="0"/>
                <w:sz w:val="22"/>
                <w:szCs w:val="24"/>
              </w:rPr>
              <w:t>进一步落实和扩大高等学校办学自主权。支持高等学校调整优化学科专业结构，尊重高等学校专业设置主体地位。支持高等学校自主管理使用学校财产经费。全面落实公开招聘制度，支持高等学校依据有关规定自主选聘教职工。高等学校可根据实际需要，按照国家和省有关规定，在核定的内设机构和领导职数内自主确定教学、科学研究、行政职能部门等内部组织机构的设置和人员配备。</w:t>
            </w:r>
          </w:p>
        </w:tc>
        <w:tc>
          <w:tcPr>
            <w:tcW w:w="2246"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省教育厅牵头</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02" w:hRule="atLeast"/>
          <w:jc w:val="center"/>
        </w:trPr>
        <w:tc>
          <w:tcPr>
            <w:tcW w:w="524" w:type="dxa"/>
            <w:vAlign w:val="center"/>
          </w:tcPr>
          <w:p>
            <w:pPr>
              <w:spacing w:line="302" w:lineRule="atLeast"/>
              <w:jc w:val="center"/>
              <w:rPr>
                <w:rFonts w:cs="宋体"/>
                <w:sz w:val="22"/>
                <w:szCs w:val="24"/>
              </w:rPr>
            </w:pPr>
            <w:r>
              <w:rPr>
                <w:rFonts w:hint="eastAsia" w:cs="宋体"/>
                <w:kern w:val="0"/>
                <w:sz w:val="22"/>
                <w:szCs w:val="24"/>
              </w:rPr>
              <w:t>32</w:t>
            </w:r>
          </w:p>
        </w:tc>
        <w:tc>
          <w:tcPr>
            <w:tcW w:w="4014" w:type="dxa"/>
            <w:vAlign w:val="center"/>
          </w:tcPr>
          <w:p>
            <w:pPr>
              <w:spacing w:line="360" w:lineRule="exact"/>
              <w:rPr>
                <w:rFonts w:cs="宋体"/>
                <w:sz w:val="22"/>
                <w:szCs w:val="24"/>
              </w:rPr>
            </w:pPr>
            <w:r>
              <w:rPr>
                <w:rFonts w:hint="eastAsia" w:cs="宋体"/>
                <w:kern w:val="0"/>
                <w:sz w:val="22"/>
                <w:szCs w:val="24"/>
              </w:rPr>
              <w:t>开展行政审批标准化工作，以标准化促进规范化。</w:t>
            </w:r>
          </w:p>
        </w:tc>
        <w:tc>
          <w:tcPr>
            <w:tcW w:w="2246"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市卫生和计划生育委员会、文化广电新闻出版局分别负责</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68" w:hRule="atLeast"/>
          <w:jc w:val="center"/>
        </w:trPr>
        <w:tc>
          <w:tcPr>
            <w:tcW w:w="524" w:type="dxa"/>
            <w:vAlign w:val="center"/>
          </w:tcPr>
          <w:p>
            <w:pPr>
              <w:spacing w:line="302" w:lineRule="atLeast"/>
              <w:jc w:val="center"/>
              <w:rPr>
                <w:rFonts w:cs="宋体"/>
                <w:sz w:val="22"/>
                <w:szCs w:val="24"/>
              </w:rPr>
            </w:pPr>
            <w:r>
              <w:rPr>
                <w:rFonts w:hint="eastAsia" w:cs="宋体"/>
                <w:kern w:val="0"/>
                <w:sz w:val="22"/>
                <w:szCs w:val="24"/>
              </w:rPr>
              <w:t>33</w:t>
            </w:r>
          </w:p>
        </w:tc>
        <w:tc>
          <w:tcPr>
            <w:tcW w:w="4014" w:type="dxa"/>
            <w:vAlign w:val="center"/>
          </w:tcPr>
          <w:p>
            <w:pPr>
              <w:spacing w:line="360" w:lineRule="exact"/>
              <w:rPr>
                <w:rFonts w:cs="宋体"/>
                <w:sz w:val="22"/>
                <w:szCs w:val="24"/>
              </w:rPr>
            </w:pPr>
            <w:r>
              <w:rPr>
                <w:rFonts w:hint="eastAsia" w:cs="宋体"/>
                <w:sz w:val="22"/>
                <w:szCs w:val="24"/>
              </w:rPr>
              <w:t>进一步深化市级财政科技计划和资金管理改革。优化整合各类科技计划，健全技术创新市场导向机制，充分发挥市场在创新资源配置中的决定性作用和政府在创新中的引导示范作用；强化项目过程管理，推行项目网上申报、网上公示，公开受理过程，完善项目评审方式，实现申报公开、过程受控、全程监督；实行科技计划项目全过程信息公开和痕迹管理，将科技计划项目纳入统一的市科技管理信息系统和市科技报告系统。</w:t>
            </w:r>
          </w:p>
        </w:tc>
        <w:tc>
          <w:tcPr>
            <w:tcW w:w="2246"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市科学技术局牵头</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12月底前完成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592" w:hRule="atLeast"/>
          <w:jc w:val="center"/>
        </w:trPr>
        <w:tc>
          <w:tcPr>
            <w:tcW w:w="524" w:type="dxa"/>
            <w:vAlign w:val="center"/>
          </w:tcPr>
          <w:p>
            <w:pPr>
              <w:spacing w:line="302" w:lineRule="atLeast"/>
              <w:jc w:val="center"/>
              <w:rPr>
                <w:rFonts w:cs="宋体"/>
                <w:sz w:val="22"/>
                <w:szCs w:val="24"/>
              </w:rPr>
            </w:pPr>
            <w:r>
              <w:rPr>
                <w:rFonts w:hint="eastAsia" w:cs="宋体"/>
                <w:kern w:val="0"/>
                <w:sz w:val="22"/>
                <w:szCs w:val="24"/>
              </w:rPr>
              <w:t>34</w:t>
            </w:r>
          </w:p>
        </w:tc>
        <w:tc>
          <w:tcPr>
            <w:tcW w:w="4014" w:type="dxa"/>
            <w:vAlign w:val="center"/>
          </w:tcPr>
          <w:p>
            <w:pPr>
              <w:spacing w:line="360" w:lineRule="exact"/>
              <w:rPr>
                <w:rFonts w:cs="宋体"/>
                <w:sz w:val="22"/>
                <w:szCs w:val="24"/>
              </w:rPr>
            </w:pPr>
            <w:r>
              <w:rPr>
                <w:rFonts w:hint="eastAsia" w:cs="宋体"/>
                <w:sz w:val="22"/>
                <w:szCs w:val="24"/>
              </w:rPr>
              <w:t>依托济源科技大市场平台，加快推动科研设施与仪器向企业、社会研发组织等社会用户开放，实现资源共享；完善企业创新服务体系，加快推进创业孵化、知识产权服务等机构专业化、市场化改革，壮大技术交易市场。</w:t>
            </w:r>
          </w:p>
        </w:tc>
        <w:tc>
          <w:tcPr>
            <w:tcW w:w="2246"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市科学技术局牵头</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12月底前完成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97" w:hRule="atLeast"/>
          <w:jc w:val="center"/>
        </w:trPr>
        <w:tc>
          <w:tcPr>
            <w:tcW w:w="524" w:type="dxa"/>
            <w:vAlign w:val="center"/>
          </w:tcPr>
          <w:p>
            <w:pPr>
              <w:spacing w:line="302" w:lineRule="atLeast"/>
              <w:jc w:val="center"/>
              <w:rPr>
                <w:rFonts w:cs="宋体"/>
                <w:sz w:val="22"/>
                <w:szCs w:val="24"/>
              </w:rPr>
            </w:pPr>
            <w:r>
              <w:rPr>
                <w:rFonts w:hint="eastAsia" w:cs="宋体"/>
                <w:sz w:val="22"/>
                <w:szCs w:val="24"/>
              </w:rPr>
              <w:t>35</w:t>
            </w:r>
          </w:p>
        </w:tc>
        <w:tc>
          <w:tcPr>
            <w:tcW w:w="4014" w:type="dxa"/>
            <w:vAlign w:val="center"/>
          </w:tcPr>
          <w:p>
            <w:pPr>
              <w:spacing w:line="300" w:lineRule="exact"/>
              <w:rPr>
                <w:rFonts w:cs="宋体"/>
                <w:sz w:val="22"/>
                <w:szCs w:val="24"/>
              </w:rPr>
            </w:pPr>
            <w:r>
              <w:rPr>
                <w:rFonts w:hint="eastAsia" w:cs="宋体"/>
                <w:sz w:val="22"/>
                <w:szCs w:val="24"/>
              </w:rPr>
              <w:t>强化新闻出版广电监管与服务。开展专项治理，进一步规范我市出版市场秩序；切实加强播出机构和频率频道管理；加强广告播放管理，着力构建广告播放管理工作政府监管、行业自律、社会监督三位一体的监管新格局；加强卫星地面接收设施管理，保证卫星地面接收设施管理工作有序推进和不断深化；加强互联网等信息网络传播视听节目管理和视听节目服务的市场准入管理；加强电影市场管理；服务、引导城市电影院线发展，加快县级城市影院建设；完善出版监管体系，增加公共产品、公共服务供给；创新网络出版管理措施。</w:t>
            </w:r>
          </w:p>
        </w:tc>
        <w:tc>
          <w:tcPr>
            <w:tcW w:w="2246"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市文化广电新闻出版局牵头</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238" w:hRule="atLeast"/>
          <w:jc w:val="center"/>
        </w:trPr>
        <w:tc>
          <w:tcPr>
            <w:tcW w:w="524" w:type="dxa"/>
            <w:vAlign w:val="center"/>
          </w:tcPr>
          <w:p>
            <w:pPr>
              <w:spacing w:line="302" w:lineRule="atLeast"/>
              <w:jc w:val="center"/>
              <w:rPr>
                <w:rFonts w:cs="宋体"/>
                <w:sz w:val="22"/>
                <w:szCs w:val="24"/>
              </w:rPr>
            </w:pPr>
            <w:r>
              <w:rPr>
                <w:rFonts w:hint="eastAsia" w:cs="宋体"/>
                <w:sz w:val="22"/>
                <w:szCs w:val="24"/>
              </w:rPr>
              <w:t>36</w:t>
            </w:r>
          </w:p>
        </w:tc>
        <w:tc>
          <w:tcPr>
            <w:tcW w:w="4014" w:type="dxa"/>
            <w:vAlign w:val="center"/>
          </w:tcPr>
          <w:p>
            <w:pPr>
              <w:spacing w:line="302" w:lineRule="atLeast"/>
              <w:rPr>
                <w:rFonts w:cs="宋体"/>
                <w:sz w:val="22"/>
                <w:szCs w:val="24"/>
              </w:rPr>
            </w:pPr>
            <w:r>
              <w:rPr>
                <w:rFonts w:hint="eastAsia" w:cs="宋体"/>
                <w:kern w:val="0"/>
                <w:sz w:val="22"/>
                <w:szCs w:val="24"/>
              </w:rPr>
              <w:t>加强群众体育场地设施建设和群众体育活动指导，做好社区体育和农村体育工作。制定完善人才政策，营造引智聚才的良好环境，为市场主体提供人力资源服务。创新公共服务提供方式，引入市场机制，凡是企业和社会组织有积极性、适合承担的，通过委托、承包、采购等方式由企业和社会组织承担，尽可能发挥社会力量的作用；确需政府参与的，更多采取政府和社会力量合作的方式。</w:t>
            </w:r>
          </w:p>
        </w:tc>
        <w:tc>
          <w:tcPr>
            <w:tcW w:w="2246"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市体育局牵头</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98" w:hRule="atLeast"/>
          <w:jc w:val="center"/>
        </w:trPr>
        <w:tc>
          <w:tcPr>
            <w:tcW w:w="9009" w:type="dxa"/>
            <w:gridSpan w:val="4"/>
            <w:tcMar>
              <w:top w:w="0" w:type="dxa"/>
              <w:left w:w="0" w:type="dxa"/>
              <w:bottom w:w="0" w:type="dxa"/>
              <w:right w:w="0" w:type="dxa"/>
            </w:tcMar>
            <w:vAlign w:val="center"/>
          </w:tcPr>
          <w:p>
            <w:pPr>
              <w:spacing w:line="302" w:lineRule="atLeast"/>
              <w:jc w:val="center"/>
              <w:rPr>
                <w:rFonts w:cs="宋体"/>
                <w:sz w:val="22"/>
                <w:szCs w:val="24"/>
              </w:rPr>
            </w:pPr>
            <w:r>
              <w:rPr>
                <w:rFonts w:hint="eastAsia" w:cs="宋体"/>
                <w:bCs/>
                <w:kern w:val="0"/>
                <w:sz w:val="22"/>
                <w:szCs w:val="24"/>
              </w:rPr>
              <w:t>七、深入推进监管方式创新，着力优化政府服务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742" w:hRule="atLeast"/>
          <w:jc w:val="center"/>
        </w:trPr>
        <w:tc>
          <w:tcPr>
            <w:tcW w:w="524" w:type="dxa"/>
            <w:vAlign w:val="center"/>
          </w:tcPr>
          <w:p>
            <w:pPr>
              <w:spacing w:line="302" w:lineRule="atLeast"/>
              <w:jc w:val="center"/>
              <w:rPr>
                <w:rFonts w:cs="宋体"/>
                <w:sz w:val="22"/>
                <w:szCs w:val="24"/>
              </w:rPr>
            </w:pPr>
            <w:r>
              <w:rPr>
                <w:rFonts w:hint="eastAsia" w:cs="宋体"/>
                <w:sz w:val="22"/>
                <w:szCs w:val="24"/>
              </w:rPr>
              <w:t>37</w:t>
            </w:r>
          </w:p>
        </w:tc>
        <w:tc>
          <w:tcPr>
            <w:tcW w:w="4014" w:type="dxa"/>
            <w:vAlign w:val="center"/>
          </w:tcPr>
          <w:p>
            <w:pPr>
              <w:spacing w:line="302" w:lineRule="atLeast"/>
              <w:rPr>
                <w:rFonts w:cs="宋体"/>
                <w:sz w:val="22"/>
                <w:szCs w:val="24"/>
              </w:rPr>
            </w:pPr>
            <w:r>
              <w:rPr>
                <w:rFonts w:hint="eastAsia" w:cs="宋体"/>
                <w:kern w:val="0"/>
                <w:sz w:val="22"/>
                <w:szCs w:val="24"/>
              </w:rPr>
              <w:t>深入调研“先照后证”改革后对市场主体事中事后的监管工作，按照“谁审批、谁监管”、“谁主管、谁监管”的原则，进一步厘清各部门的监管职责，加强事中事后监管。</w:t>
            </w:r>
          </w:p>
        </w:tc>
        <w:tc>
          <w:tcPr>
            <w:tcW w:w="2246"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市工商行政管理局（市协调小组商事制度改革组组长单位）牵头</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12月底前完成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480" w:hRule="atLeast"/>
          <w:jc w:val="center"/>
        </w:trPr>
        <w:tc>
          <w:tcPr>
            <w:tcW w:w="524" w:type="dxa"/>
            <w:vAlign w:val="center"/>
          </w:tcPr>
          <w:p>
            <w:pPr>
              <w:spacing w:line="302" w:lineRule="atLeast"/>
              <w:jc w:val="center"/>
              <w:rPr>
                <w:rFonts w:cs="宋体"/>
                <w:sz w:val="22"/>
                <w:szCs w:val="24"/>
              </w:rPr>
            </w:pPr>
            <w:r>
              <w:rPr>
                <w:rFonts w:hint="eastAsia" w:cs="宋体"/>
                <w:sz w:val="22"/>
                <w:szCs w:val="24"/>
              </w:rPr>
              <w:t>38</w:t>
            </w:r>
          </w:p>
        </w:tc>
        <w:tc>
          <w:tcPr>
            <w:tcW w:w="4014" w:type="dxa"/>
            <w:vAlign w:val="center"/>
          </w:tcPr>
          <w:p>
            <w:pPr>
              <w:spacing w:line="320" w:lineRule="exact"/>
              <w:rPr>
                <w:rFonts w:cs="宋体"/>
                <w:sz w:val="22"/>
                <w:szCs w:val="24"/>
              </w:rPr>
            </w:pPr>
            <w:r>
              <w:rPr>
                <w:rFonts w:hint="eastAsia" w:cs="宋体"/>
                <w:sz w:val="22"/>
                <w:szCs w:val="24"/>
              </w:rPr>
              <w:t>依托“市民之家”，</w:t>
            </w:r>
            <w:r>
              <w:rPr>
                <w:rFonts w:hint="eastAsia" w:cs="宋体"/>
                <w:kern w:val="0"/>
                <w:sz w:val="22"/>
                <w:szCs w:val="24"/>
              </w:rPr>
              <w:t>建设统一协作的综合监管平台，探索完善监管部门综合执法制度。建立信息公示和诚信档案制度、失信联合惩戒机制和黑名单制度。指导各地实施企业经营异常名录相关制度，构建跨部门执法联动响应及失信约束机制。</w:t>
            </w:r>
          </w:p>
        </w:tc>
        <w:tc>
          <w:tcPr>
            <w:tcW w:w="2246" w:type="dxa"/>
            <w:tcMar>
              <w:top w:w="0" w:type="dxa"/>
              <w:left w:w="0" w:type="dxa"/>
              <w:bottom w:w="0" w:type="dxa"/>
              <w:right w:w="0" w:type="dxa"/>
            </w:tcMar>
            <w:vAlign w:val="center"/>
          </w:tcPr>
          <w:p>
            <w:pPr>
              <w:spacing w:line="302" w:lineRule="atLeast"/>
              <w:jc w:val="center"/>
              <w:rPr>
                <w:rFonts w:cs="宋体"/>
                <w:spacing w:val="0"/>
                <w:sz w:val="22"/>
                <w:szCs w:val="22"/>
              </w:rPr>
            </w:pPr>
            <w:r>
              <w:rPr>
                <w:rFonts w:hint="eastAsia" w:cs="宋体"/>
                <w:spacing w:val="0"/>
                <w:kern w:val="0"/>
                <w:sz w:val="22"/>
                <w:szCs w:val="22"/>
              </w:rPr>
              <w:t>市工商行政管理局牵头</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827" w:hRule="atLeast"/>
          <w:jc w:val="center"/>
        </w:trPr>
        <w:tc>
          <w:tcPr>
            <w:tcW w:w="524" w:type="dxa"/>
            <w:vAlign w:val="center"/>
          </w:tcPr>
          <w:p>
            <w:pPr>
              <w:spacing w:line="302" w:lineRule="atLeast"/>
              <w:jc w:val="center"/>
              <w:rPr>
                <w:rFonts w:cs="宋体"/>
                <w:sz w:val="22"/>
                <w:szCs w:val="24"/>
              </w:rPr>
            </w:pPr>
            <w:r>
              <w:rPr>
                <w:rFonts w:hint="eastAsia" w:cs="宋体"/>
                <w:sz w:val="22"/>
                <w:szCs w:val="24"/>
              </w:rPr>
              <w:t>39</w:t>
            </w:r>
          </w:p>
        </w:tc>
        <w:tc>
          <w:tcPr>
            <w:tcW w:w="4014" w:type="dxa"/>
            <w:vAlign w:val="center"/>
          </w:tcPr>
          <w:p>
            <w:pPr>
              <w:spacing w:line="320" w:lineRule="exact"/>
              <w:rPr>
                <w:rFonts w:cs="宋体"/>
                <w:sz w:val="22"/>
                <w:szCs w:val="24"/>
              </w:rPr>
            </w:pPr>
            <w:r>
              <w:rPr>
                <w:rFonts w:hint="eastAsia" w:cs="宋体"/>
                <w:kern w:val="0"/>
                <w:sz w:val="22"/>
                <w:szCs w:val="24"/>
              </w:rPr>
              <w:t>积极探索建立事中事后监管新模式，加强大数据、“互联网＋”等信息手段的运用，实现对市场主体的“智能”监管，建立以信用监管为核心的新型监管制度。</w:t>
            </w:r>
          </w:p>
        </w:tc>
        <w:tc>
          <w:tcPr>
            <w:tcW w:w="2246" w:type="dxa"/>
            <w:tcMar>
              <w:top w:w="0" w:type="dxa"/>
              <w:left w:w="0" w:type="dxa"/>
              <w:bottom w:w="0" w:type="dxa"/>
              <w:right w:w="0" w:type="dxa"/>
            </w:tcMar>
            <w:vAlign w:val="center"/>
          </w:tcPr>
          <w:p>
            <w:pPr>
              <w:spacing w:line="302" w:lineRule="atLeast"/>
              <w:jc w:val="center"/>
              <w:rPr>
                <w:rFonts w:cs="宋体"/>
                <w:spacing w:val="0"/>
                <w:sz w:val="22"/>
                <w:szCs w:val="22"/>
              </w:rPr>
            </w:pPr>
            <w:r>
              <w:rPr>
                <w:rFonts w:hint="eastAsia" w:cs="宋体"/>
                <w:spacing w:val="0"/>
                <w:kern w:val="0"/>
                <w:sz w:val="22"/>
                <w:szCs w:val="22"/>
              </w:rPr>
              <w:t>市工商行政管理局牵头</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74" w:hRule="atLeast"/>
          <w:jc w:val="center"/>
        </w:trPr>
        <w:tc>
          <w:tcPr>
            <w:tcW w:w="524" w:type="dxa"/>
            <w:vAlign w:val="center"/>
          </w:tcPr>
          <w:p>
            <w:pPr>
              <w:spacing w:line="302" w:lineRule="atLeast"/>
              <w:jc w:val="center"/>
              <w:rPr>
                <w:rFonts w:cs="宋体"/>
                <w:sz w:val="22"/>
                <w:szCs w:val="24"/>
              </w:rPr>
            </w:pPr>
            <w:r>
              <w:rPr>
                <w:rFonts w:hint="eastAsia" w:cs="宋体"/>
                <w:kern w:val="0"/>
                <w:sz w:val="22"/>
                <w:szCs w:val="24"/>
              </w:rPr>
              <w:t>40</w:t>
            </w:r>
          </w:p>
        </w:tc>
        <w:tc>
          <w:tcPr>
            <w:tcW w:w="4014" w:type="dxa"/>
            <w:vAlign w:val="center"/>
          </w:tcPr>
          <w:p>
            <w:pPr>
              <w:spacing w:line="320" w:lineRule="exact"/>
              <w:rPr>
                <w:rFonts w:cs="宋体"/>
                <w:sz w:val="22"/>
                <w:szCs w:val="24"/>
              </w:rPr>
            </w:pPr>
            <w:r>
              <w:rPr>
                <w:rFonts w:hint="eastAsia" w:cs="宋体"/>
                <w:kern w:val="0"/>
                <w:sz w:val="22"/>
                <w:szCs w:val="24"/>
              </w:rPr>
              <w:t>开展运用大数据加强对市场主体监管和服务的相关试点工作，运用大数据转变监管方式，整合各类监管执法信息，完善全市经济户籍数据库，夯实大数据监管基础；通过加强与第三方大数据技术公司、掌握大数据的公司合作，建立市级大数据监管及服务系统，充分运用大数据理念和技术加强市场监管与服务。</w:t>
            </w:r>
          </w:p>
        </w:tc>
        <w:tc>
          <w:tcPr>
            <w:tcW w:w="2246" w:type="dxa"/>
            <w:tcMar>
              <w:top w:w="0" w:type="dxa"/>
              <w:left w:w="0" w:type="dxa"/>
              <w:bottom w:w="0" w:type="dxa"/>
              <w:right w:w="0" w:type="dxa"/>
            </w:tcMar>
            <w:vAlign w:val="center"/>
          </w:tcPr>
          <w:p>
            <w:pPr>
              <w:spacing w:line="302" w:lineRule="atLeast"/>
              <w:jc w:val="center"/>
              <w:rPr>
                <w:rFonts w:cs="宋体"/>
                <w:spacing w:val="0"/>
                <w:sz w:val="22"/>
                <w:szCs w:val="22"/>
              </w:rPr>
            </w:pPr>
            <w:r>
              <w:rPr>
                <w:rFonts w:hint="eastAsia" w:cs="宋体"/>
                <w:spacing w:val="0"/>
                <w:kern w:val="0"/>
                <w:sz w:val="22"/>
                <w:szCs w:val="22"/>
              </w:rPr>
              <w:t>市工商行政管理局牵头</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505" w:hRule="atLeast"/>
          <w:jc w:val="center"/>
        </w:trPr>
        <w:tc>
          <w:tcPr>
            <w:tcW w:w="524" w:type="dxa"/>
            <w:vAlign w:val="center"/>
          </w:tcPr>
          <w:p>
            <w:pPr>
              <w:spacing w:line="302" w:lineRule="atLeast"/>
              <w:jc w:val="center"/>
              <w:rPr>
                <w:rFonts w:cs="宋体"/>
                <w:sz w:val="22"/>
                <w:szCs w:val="24"/>
              </w:rPr>
            </w:pPr>
            <w:r>
              <w:rPr>
                <w:rFonts w:hint="eastAsia" w:cs="宋体"/>
                <w:kern w:val="0"/>
                <w:sz w:val="22"/>
                <w:szCs w:val="24"/>
              </w:rPr>
              <w:t>41</w:t>
            </w:r>
          </w:p>
        </w:tc>
        <w:tc>
          <w:tcPr>
            <w:tcW w:w="4014" w:type="dxa"/>
            <w:vAlign w:val="center"/>
          </w:tcPr>
          <w:p>
            <w:pPr>
              <w:spacing w:line="320" w:lineRule="exact"/>
              <w:rPr>
                <w:rFonts w:cs="宋体"/>
                <w:sz w:val="22"/>
                <w:szCs w:val="24"/>
              </w:rPr>
            </w:pPr>
            <w:r>
              <w:rPr>
                <w:rFonts w:hint="eastAsia" w:cs="宋体"/>
                <w:kern w:val="0"/>
                <w:sz w:val="22"/>
                <w:szCs w:val="24"/>
              </w:rPr>
              <w:t>推行随机抽查、告知承诺、综合执法、信息披露、举报奖励、诚信档案等办法，在维护市场秩序、促进公平竞争方面取得明显突破。</w:t>
            </w:r>
          </w:p>
        </w:tc>
        <w:tc>
          <w:tcPr>
            <w:tcW w:w="2246" w:type="dxa"/>
            <w:tcMar>
              <w:top w:w="0" w:type="dxa"/>
              <w:left w:w="0" w:type="dxa"/>
              <w:bottom w:w="0" w:type="dxa"/>
              <w:right w:w="0" w:type="dxa"/>
            </w:tcMar>
            <w:vAlign w:val="center"/>
          </w:tcPr>
          <w:p>
            <w:pPr>
              <w:spacing w:line="302" w:lineRule="atLeast"/>
              <w:jc w:val="center"/>
              <w:rPr>
                <w:rFonts w:hint="eastAsia" w:cs="宋体"/>
                <w:kern w:val="0"/>
                <w:sz w:val="22"/>
                <w:szCs w:val="24"/>
              </w:rPr>
            </w:pPr>
            <w:r>
              <w:rPr>
                <w:rFonts w:hint="eastAsia" w:cs="宋体"/>
                <w:kern w:val="0"/>
                <w:sz w:val="22"/>
                <w:szCs w:val="24"/>
              </w:rPr>
              <w:t>各相关部门</w:t>
            </w:r>
          </w:p>
          <w:p>
            <w:pPr>
              <w:spacing w:line="302" w:lineRule="atLeast"/>
              <w:jc w:val="center"/>
              <w:rPr>
                <w:rFonts w:cs="宋体"/>
                <w:sz w:val="22"/>
                <w:szCs w:val="24"/>
              </w:rPr>
            </w:pPr>
            <w:r>
              <w:rPr>
                <w:rFonts w:hint="eastAsia" w:cs="宋体"/>
                <w:kern w:val="0"/>
                <w:sz w:val="22"/>
                <w:szCs w:val="24"/>
              </w:rPr>
              <w:t>按职责分工负责</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72" w:hRule="atLeast"/>
          <w:jc w:val="center"/>
        </w:trPr>
        <w:tc>
          <w:tcPr>
            <w:tcW w:w="524" w:type="dxa"/>
            <w:vAlign w:val="center"/>
          </w:tcPr>
          <w:p>
            <w:pPr>
              <w:spacing w:line="302" w:lineRule="atLeast"/>
              <w:jc w:val="center"/>
              <w:rPr>
                <w:rFonts w:cs="宋体"/>
                <w:sz w:val="22"/>
                <w:szCs w:val="24"/>
              </w:rPr>
            </w:pPr>
            <w:r>
              <w:rPr>
                <w:rFonts w:hint="eastAsia" w:cs="宋体"/>
                <w:kern w:val="0"/>
                <w:sz w:val="22"/>
                <w:szCs w:val="24"/>
              </w:rPr>
              <w:t>42</w:t>
            </w:r>
          </w:p>
        </w:tc>
        <w:tc>
          <w:tcPr>
            <w:tcW w:w="4014" w:type="dxa"/>
            <w:vAlign w:val="center"/>
          </w:tcPr>
          <w:p>
            <w:pPr>
              <w:spacing w:line="320" w:lineRule="exact"/>
              <w:rPr>
                <w:rFonts w:cs="宋体"/>
                <w:sz w:val="22"/>
                <w:szCs w:val="24"/>
              </w:rPr>
            </w:pPr>
            <w:r>
              <w:rPr>
                <w:rFonts w:hint="eastAsia" w:cs="宋体"/>
                <w:kern w:val="0"/>
                <w:sz w:val="22"/>
                <w:szCs w:val="24"/>
              </w:rPr>
              <w:t>提高政府公共服务的针对性和实效性，为企业创新搭台助力。</w:t>
            </w:r>
          </w:p>
        </w:tc>
        <w:tc>
          <w:tcPr>
            <w:tcW w:w="2246" w:type="dxa"/>
            <w:tcMar>
              <w:top w:w="0" w:type="dxa"/>
              <w:left w:w="0" w:type="dxa"/>
              <w:bottom w:w="0" w:type="dxa"/>
              <w:right w:w="0" w:type="dxa"/>
            </w:tcMar>
            <w:vAlign w:val="center"/>
          </w:tcPr>
          <w:p>
            <w:pPr>
              <w:spacing w:line="302" w:lineRule="atLeast"/>
              <w:jc w:val="center"/>
              <w:rPr>
                <w:rFonts w:hint="eastAsia" w:cs="宋体"/>
                <w:kern w:val="0"/>
                <w:sz w:val="22"/>
                <w:szCs w:val="24"/>
              </w:rPr>
            </w:pPr>
            <w:r>
              <w:rPr>
                <w:rFonts w:hint="eastAsia" w:cs="宋体"/>
                <w:kern w:val="0"/>
                <w:sz w:val="22"/>
                <w:szCs w:val="24"/>
              </w:rPr>
              <w:t>各相关部门</w:t>
            </w:r>
          </w:p>
          <w:p>
            <w:pPr>
              <w:spacing w:line="302" w:lineRule="atLeast"/>
              <w:jc w:val="center"/>
              <w:rPr>
                <w:rFonts w:cs="宋体"/>
                <w:sz w:val="22"/>
                <w:szCs w:val="24"/>
              </w:rPr>
            </w:pPr>
            <w:r>
              <w:rPr>
                <w:rFonts w:hint="eastAsia" w:cs="宋体"/>
                <w:kern w:val="0"/>
                <w:sz w:val="22"/>
                <w:szCs w:val="24"/>
              </w:rPr>
              <w:t>按职责分工负责</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6" w:hRule="atLeast"/>
          <w:jc w:val="center"/>
        </w:trPr>
        <w:tc>
          <w:tcPr>
            <w:tcW w:w="9009" w:type="dxa"/>
            <w:gridSpan w:val="4"/>
            <w:tcMar>
              <w:top w:w="0" w:type="dxa"/>
              <w:left w:w="0" w:type="dxa"/>
              <w:bottom w:w="0" w:type="dxa"/>
              <w:right w:w="0" w:type="dxa"/>
            </w:tcMar>
            <w:vAlign w:val="center"/>
          </w:tcPr>
          <w:p>
            <w:pPr>
              <w:spacing w:line="320" w:lineRule="exact"/>
              <w:jc w:val="center"/>
              <w:rPr>
                <w:rFonts w:cs="宋体"/>
                <w:sz w:val="22"/>
                <w:szCs w:val="24"/>
              </w:rPr>
            </w:pPr>
            <w:r>
              <w:rPr>
                <w:rFonts w:hint="eastAsia" w:cs="宋体"/>
                <w:bCs/>
                <w:kern w:val="0"/>
                <w:sz w:val="22"/>
                <w:szCs w:val="24"/>
              </w:rPr>
              <w:t>八、进一步强化改革保障机制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533" w:hRule="atLeast"/>
          <w:jc w:val="center"/>
        </w:trPr>
        <w:tc>
          <w:tcPr>
            <w:tcW w:w="524" w:type="dxa"/>
            <w:vAlign w:val="center"/>
          </w:tcPr>
          <w:p>
            <w:pPr>
              <w:spacing w:line="302" w:lineRule="atLeast"/>
              <w:jc w:val="center"/>
              <w:rPr>
                <w:rFonts w:cs="宋体"/>
                <w:sz w:val="22"/>
                <w:szCs w:val="24"/>
              </w:rPr>
            </w:pPr>
            <w:r>
              <w:rPr>
                <w:rFonts w:hint="eastAsia" w:cs="宋体"/>
                <w:kern w:val="0"/>
                <w:sz w:val="22"/>
                <w:szCs w:val="24"/>
              </w:rPr>
              <w:t>43</w:t>
            </w:r>
          </w:p>
        </w:tc>
        <w:tc>
          <w:tcPr>
            <w:tcW w:w="4014" w:type="dxa"/>
            <w:vAlign w:val="center"/>
          </w:tcPr>
          <w:p>
            <w:pPr>
              <w:spacing w:line="320" w:lineRule="exact"/>
              <w:rPr>
                <w:rFonts w:cs="宋体"/>
                <w:sz w:val="22"/>
                <w:szCs w:val="24"/>
              </w:rPr>
            </w:pPr>
            <w:r>
              <w:rPr>
                <w:rFonts w:hint="eastAsia" w:cs="宋体"/>
                <w:kern w:val="0"/>
                <w:sz w:val="22"/>
                <w:szCs w:val="24"/>
              </w:rPr>
              <w:t>结合实际，研究提出我市简政放权、放管结合、优化服务重要领域和关键环节的改革措施，尽快制定推进改革工作方案。</w:t>
            </w:r>
          </w:p>
        </w:tc>
        <w:tc>
          <w:tcPr>
            <w:tcW w:w="2246" w:type="dxa"/>
            <w:tcMar>
              <w:top w:w="0" w:type="dxa"/>
              <w:left w:w="0" w:type="dxa"/>
              <w:bottom w:w="0" w:type="dxa"/>
              <w:right w:w="0" w:type="dxa"/>
            </w:tcMar>
            <w:vAlign w:val="center"/>
          </w:tcPr>
          <w:p>
            <w:pPr>
              <w:spacing w:line="302" w:lineRule="atLeast"/>
              <w:jc w:val="center"/>
              <w:rPr>
                <w:rFonts w:hint="eastAsia" w:cs="宋体"/>
                <w:kern w:val="0"/>
                <w:sz w:val="22"/>
                <w:szCs w:val="24"/>
              </w:rPr>
            </w:pPr>
            <w:r>
              <w:rPr>
                <w:rFonts w:hint="eastAsia" w:cs="宋体"/>
                <w:kern w:val="0"/>
                <w:sz w:val="22"/>
                <w:szCs w:val="24"/>
              </w:rPr>
              <w:t>市协调小组办公室、</w:t>
            </w:r>
          </w:p>
          <w:p>
            <w:pPr>
              <w:spacing w:line="302" w:lineRule="atLeast"/>
              <w:jc w:val="center"/>
              <w:rPr>
                <w:rFonts w:cs="宋体"/>
                <w:sz w:val="22"/>
                <w:szCs w:val="24"/>
              </w:rPr>
            </w:pPr>
            <w:r>
              <w:rPr>
                <w:rFonts w:hint="eastAsia" w:cs="宋体"/>
                <w:kern w:val="0"/>
                <w:sz w:val="22"/>
                <w:szCs w:val="24"/>
              </w:rPr>
              <w:t>督查组负责</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10月底前完成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63" w:hRule="atLeast"/>
          <w:jc w:val="center"/>
        </w:trPr>
        <w:tc>
          <w:tcPr>
            <w:tcW w:w="524" w:type="dxa"/>
            <w:vAlign w:val="center"/>
          </w:tcPr>
          <w:p>
            <w:pPr>
              <w:spacing w:line="302" w:lineRule="atLeast"/>
              <w:jc w:val="center"/>
              <w:rPr>
                <w:rFonts w:cs="宋体"/>
                <w:sz w:val="22"/>
                <w:szCs w:val="24"/>
              </w:rPr>
            </w:pPr>
            <w:r>
              <w:rPr>
                <w:rFonts w:hint="eastAsia" w:cs="宋体"/>
                <w:sz w:val="22"/>
                <w:szCs w:val="24"/>
              </w:rPr>
              <w:t>44</w:t>
            </w:r>
          </w:p>
        </w:tc>
        <w:tc>
          <w:tcPr>
            <w:tcW w:w="4014" w:type="dxa"/>
            <w:vAlign w:val="center"/>
          </w:tcPr>
          <w:p>
            <w:pPr>
              <w:spacing w:line="320" w:lineRule="exact"/>
              <w:rPr>
                <w:rFonts w:cs="宋体"/>
                <w:sz w:val="22"/>
                <w:szCs w:val="24"/>
              </w:rPr>
            </w:pPr>
            <w:r>
              <w:rPr>
                <w:rFonts w:hint="eastAsia" w:cs="宋体"/>
                <w:kern w:val="0"/>
                <w:sz w:val="22"/>
                <w:szCs w:val="24"/>
              </w:rPr>
              <w:t>建立简政放权、放管结合、职能转变推进机制。</w:t>
            </w:r>
          </w:p>
        </w:tc>
        <w:tc>
          <w:tcPr>
            <w:tcW w:w="2246" w:type="dxa"/>
            <w:tcMar>
              <w:top w:w="0" w:type="dxa"/>
              <w:left w:w="0" w:type="dxa"/>
              <w:bottom w:w="0" w:type="dxa"/>
              <w:right w:w="0" w:type="dxa"/>
            </w:tcMar>
            <w:vAlign w:val="center"/>
          </w:tcPr>
          <w:p>
            <w:pPr>
              <w:spacing w:line="302" w:lineRule="atLeast"/>
              <w:jc w:val="center"/>
              <w:rPr>
                <w:rFonts w:hint="eastAsia" w:cs="宋体"/>
                <w:kern w:val="0"/>
                <w:sz w:val="22"/>
                <w:szCs w:val="24"/>
              </w:rPr>
            </w:pPr>
            <w:r>
              <w:rPr>
                <w:rFonts w:hint="eastAsia" w:cs="宋体"/>
                <w:kern w:val="0"/>
                <w:sz w:val="22"/>
                <w:szCs w:val="24"/>
              </w:rPr>
              <w:t>市协调小组办公室、</w:t>
            </w:r>
          </w:p>
          <w:p>
            <w:pPr>
              <w:spacing w:line="302" w:lineRule="atLeast"/>
              <w:jc w:val="center"/>
              <w:rPr>
                <w:rFonts w:cs="宋体"/>
                <w:sz w:val="22"/>
                <w:szCs w:val="24"/>
              </w:rPr>
            </w:pPr>
            <w:r>
              <w:rPr>
                <w:rFonts w:hint="eastAsia" w:cs="宋体"/>
                <w:kern w:val="0"/>
                <w:sz w:val="22"/>
                <w:szCs w:val="24"/>
              </w:rPr>
              <w:t>督查组负责</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10月底前完成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11" w:hRule="atLeast"/>
          <w:jc w:val="center"/>
        </w:trPr>
        <w:tc>
          <w:tcPr>
            <w:tcW w:w="524" w:type="dxa"/>
            <w:vAlign w:val="center"/>
          </w:tcPr>
          <w:p>
            <w:pPr>
              <w:spacing w:line="302" w:lineRule="atLeast"/>
              <w:jc w:val="center"/>
              <w:rPr>
                <w:rFonts w:cs="宋体"/>
                <w:sz w:val="22"/>
                <w:szCs w:val="24"/>
              </w:rPr>
            </w:pPr>
            <w:r>
              <w:rPr>
                <w:rFonts w:hint="eastAsia" w:cs="宋体"/>
                <w:sz w:val="22"/>
                <w:szCs w:val="24"/>
              </w:rPr>
              <w:t>45</w:t>
            </w:r>
          </w:p>
        </w:tc>
        <w:tc>
          <w:tcPr>
            <w:tcW w:w="4014" w:type="dxa"/>
            <w:vAlign w:val="center"/>
          </w:tcPr>
          <w:p>
            <w:pPr>
              <w:spacing w:line="320" w:lineRule="exact"/>
              <w:rPr>
                <w:rFonts w:cs="宋体"/>
                <w:sz w:val="22"/>
                <w:szCs w:val="24"/>
              </w:rPr>
            </w:pPr>
            <w:r>
              <w:rPr>
                <w:rFonts w:hint="eastAsia" w:cs="宋体"/>
                <w:kern w:val="0"/>
                <w:sz w:val="22"/>
                <w:szCs w:val="24"/>
              </w:rPr>
              <w:t>承担改革任务的政府部门按照确定的目标任务细化具体推进举措，排出时间表和进度表，按照职责分工抓好落实。</w:t>
            </w:r>
          </w:p>
        </w:tc>
        <w:tc>
          <w:tcPr>
            <w:tcW w:w="2246"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市政府相关部门</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10月底前完成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40" w:hRule="atLeast"/>
          <w:jc w:val="center"/>
        </w:trPr>
        <w:tc>
          <w:tcPr>
            <w:tcW w:w="524" w:type="dxa"/>
            <w:vAlign w:val="center"/>
          </w:tcPr>
          <w:p>
            <w:pPr>
              <w:spacing w:line="302" w:lineRule="atLeast"/>
              <w:jc w:val="center"/>
              <w:rPr>
                <w:rFonts w:cs="宋体"/>
                <w:sz w:val="22"/>
                <w:szCs w:val="24"/>
              </w:rPr>
            </w:pPr>
            <w:r>
              <w:rPr>
                <w:rFonts w:hint="eastAsia" w:cs="宋体"/>
                <w:sz w:val="22"/>
                <w:szCs w:val="24"/>
              </w:rPr>
              <w:t>46</w:t>
            </w:r>
          </w:p>
        </w:tc>
        <w:tc>
          <w:tcPr>
            <w:tcW w:w="4014" w:type="dxa"/>
            <w:vAlign w:val="center"/>
          </w:tcPr>
          <w:p>
            <w:pPr>
              <w:spacing w:line="360" w:lineRule="exact"/>
              <w:rPr>
                <w:rFonts w:cs="宋体"/>
                <w:sz w:val="22"/>
                <w:szCs w:val="24"/>
              </w:rPr>
            </w:pPr>
            <w:r>
              <w:rPr>
                <w:rFonts w:hint="eastAsia" w:cs="宋体"/>
                <w:kern w:val="0"/>
                <w:sz w:val="22"/>
                <w:szCs w:val="24"/>
              </w:rPr>
              <w:t>建立常态化的工作联动机制，定期召开由各专业组、功能组及相关职能部门参加的会议，加强信息共享。</w:t>
            </w:r>
          </w:p>
        </w:tc>
        <w:tc>
          <w:tcPr>
            <w:tcW w:w="2246" w:type="dxa"/>
            <w:tcMar>
              <w:top w:w="0" w:type="dxa"/>
              <w:left w:w="0" w:type="dxa"/>
              <w:bottom w:w="0" w:type="dxa"/>
              <w:right w:w="0" w:type="dxa"/>
            </w:tcMar>
            <w:vAlign w:val="center"/>
          </w:tcPr>
          <w:p>
            <w:pPr>
              <w:spacing w:line="302" w:lineRule="atLeast"/>
              <w:jc w:val="center"/>
              <w:rPr>
                <w:rFonts w:hint="eastAsia" w:cs="宋体"/>
                <w:kern w:val="0"/>
                <w:sz w:val="22"/>
                <w:szCs w:val="24"/>
              </w:rPr>
            </w:pPr>
            <w:r>
              <w:rPr>
                <w:rFonts w:hint="eastAsia" w:cs="宋体"/>
                <w:kern w:val="0"/>
                <w:sz w:val="22"/>
                <w:szCs w:val="24"/>
              </w:rPr>
              <w:t>市协调小组</w:t>
            </w:r>
          </w:p>
          <w:p>
            <w:pPr>
              <w:spacing w:line="302" w:lineRule="atLeast"/>
              <w:jc w:val="center"/>
              <w:rPr>
                <w:rFonts w:cs="宋体"/>
                <w:sz w:val="22"/>
                <w:szCs w:val="24"/>
              </w:rPr>
            </w:pPr>
            <w:r>
              <w:rPr>
                <w:rFonts w:hint="eastAsia" w:cs="宋体"/>
                <w:kern w:val="0"/>
                <w:sz w:val="22"/>
                <w:szCs w:val="24"/>
              </w:rPr>
              <w:t>办公室牵头</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73" w:hRule="atLeast"/>
          <w:jc w:val="center"/>
        </w:trPr>
        <w:tc>
          <w:tcPr>
            <w:tcW w:w="524" w:type="dxa"/>
            <w:vAlign w:val="center"/>
          </w:tcPr>
          <w:p>
            <w:pPr>
              <w:spacing w:line="302" w:lineRule="atLeast"/>
              <w:jc w:val="center"/>
              <w:rPr>
                <w:rFonts w:cs="宋体"/>
                <w:sz w:val="22"/>
                <w:szCs w:val="24"/>
              </w:rPr>
            </w:pPr>
            <w:r>
              <w:rPr>
                <w:rFonts w:hint="eastAsia" w:cs="宋体"/>
                <w:sz w:val="22"/>
                <w:szCs w:val="24"/>
              </w:rPr>
              <w:t>47</w:t>
            </w:r>
          </w:p>
        </w:tc>
        <w:tc>
          <w:tcPr>
            <w:tcW w:w="4014" w:type="dxa"/>
            <w:vAlign w:val="center"/>
          </w:tcPr>
          <w:p>
            <w:pPr>
              <w:spacing w:line="320" w:lineRule="exact"/>
              <w:rPr>
                <w:rFonts w:cs="宋体"/>
                <w:sz w:val="22"/>
                <w:szCs w:val="24"/>
              </w:rPr>
            </w:pPr>
            <w:r>
              <w:rPr>
                <w:rFonts w:hint="eastAsia" w:cs="宋体"/>
                <w:kern w:val="0"/>
                <w:sz w:val="22"/>
                <w:szCs w:val="24"/>
              </w:rPr>
              <w:t>对组织不力、不按要求推进工作、未按时限完成任务的部门通报批评，问题严重的行政问责。</w:t>
            </w:r>
          </w:p>
        </w:tc>
        <w:tc>
          <w:tcPr>
            <w:tcW w:w="2246" w:type="dxa"/>
            <w:tcMar>
              <w:top w:w="0" w:type="dxa"/>
              <w:left w:w="0" w:type="dxa"/>
              <w:bottom w:w="0" w:type="dxa"/>
              <w:right w:w="0" w:type="dxa"/>
            </w:tcMar>
            <w:vAlign w:val="center"/>
          </w:tcPr>
          <w:p>
            <w:pPr>
              <w:spacing w:line="302" w:lineRule="atLeast"/>
              <w:jc w:val="center"/>
              <w:rPr>
                <w:rFonts w:hint="eastAsia" w:cs="宋体"/>
                <w:kern w:val="0"/>
                <w:sz w:val="22"/>
                <w:szCs w:val="24"/>
              </w:rPr>
            </w:pPr>
            <w:r>
              <w:rPr>
                <w:rFonts w:hint="eastAsia" w:cs="宋体"/>
                <w:kern w:val="0"/>
                <w:sz w:val="22"/>
                <w:szCs w:val="24"/>
              </w:rPr>
              <w:t>市协调小组</w:t>
            </w:r>
          </w:p>
          <w:p>
            <w:pPr>
              <w:spacing w:line="302" w:lineRule="atLeast"/>
              <w:jc w:val="center"/>
              <w:rPr>
                <w:rFonts w:cs="宋体"/>
                <w:sz w:val="22"/>
                <w:szCs w:val="24"/>
              </w:rPr>
            </w:pPr>
            <w:r>
              <w:rPr>
                <w:rFonts w:hint="eastAsia" w:cs="宋体"/>
                <w:kern w:val="0"/>
                <w:sz w:val="22"/>
                <w:szCs w:val="24"/>
              </w:rPr>
              <w:t>办公室牵头</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716" w:hRule="atLeast"/>
          <w:jc w:val="center"/>
        </w:trPr>
        <w:tc>
          <w:tcPr>
            <w:tcW w:w="524" w:type="dxa"/>
            <w:vAlign w:val="center"/>
          </w:tcPr>
          <w:p>
            <w:pPr>
              <w:spacing w:line="302" w:lineRule="atLeast"/>
              <w:jc w:val="center"/>
              <w:rPr>
                <w:rFonts w:cs="宋体"/>
                <w:sz w:val="22"/>
                <w:szCs w:val="24"/>
              </w:rPr>
            </w:pPr>
            <w:r>
              <w:rPr>
                <w:rFonts w:hint="eastAsia" w:cs="宋体"/>
                <w:sz w:val="22"/>
                <w:szCs w:val="24"/>
              </w:rPr>
              <w:t>48</w:t>
            </w:r>
          </w:p>
        </w:tc>
        <w:tc>
          <w:tcPr>
            <w:tcW w:w="4014" w:type="dxa"/>
            <w:vAlign w:val="center"/>
          </w:tcPr>
          <w:p>
            <w:pPr>
              <w:spacing w:line="320" w:lineRule="exact"/>
              <w:rPr>
                <w:rFonts w:cs="宋体"/>
                <w:sz w:val="22"/>
                <w:szCs w:val="24"/>
              </w:rPr>
            </w:pPr>
            <w:r>
              <w:rPr>
                <w:rFonts w:hint="eastAsia" w:cs="宋体"/>
                <w:kern w:val="0"/>
                <w:sz w:val="22"/>
                <w:szCs w:val="24"/>
              </w:rPr>
              <w:t>建立常态化督促检查机制。对照任务安排和工作重点，经常开展阶段性督查、专题督查、日常督查等，建立查找问题、分析原因、通报情况、整改落实的长效机制。</w:t>
            </w:r>
          </w:p>
        </w:tc>
        <w:tc>
          <w:tcPr>
            <w:tcW w:w="2246" w:type="dxa"/>
            <w:tcMar>
              <w:top w:w="0" w:type="dxa"/>
              <w:left w:w="0" w:type="dxa"/>
              <w:bottom w:w="0" w:type="dxa"/>
              <w:right w:w="0" w:type="dxa"/>
            </w:tcMar>
            <w:vAlign w:val="center"/>
          </w:tcPr>
          <w:p>
            <w:pPr>
              <w:spacing w:line="302" w:lineRule="atLeast"/>
              <w:jc w:val="center"/>
              <w:rPr>
                <w:rFonts w:hint="eastAsia" w:cs="宋体"/>
                <w:kern w:val="0"/>
                <w:sz w:val="22"/>
                <w:szCs w:val="24"/>
              </w:rPr>
            </w:pPr>
            <w:r>
              <w:rPr>
                <w:rFonts w:hint="eastAsia" w:cs="宋体"/>
                <w:kern w:val="0"/>
                <w:sz w:val="22"/>
                <w:szCs w:val="24"/>
              </w:rPr>
              <w:t>市协调小组</w:t>
            </w:r>
          </w:p>
          <w:p>
            <w:pPr>
              <w:spacing w:line="302" w:lineRule="atLeast"/>
              <w:jc w:val="center"/>
              <w:rPr>
                <w:rFonts w:cs="宋体"/>
                <w:sz w:val="22"/>
                <w:szCs w:val="24"/>
              </w:rPr>
            </w:pPr>
            <w:r>
              <w:rPr>
                <w:rFonts w:hint="eastAsia" w:cs="宋体"/>
                <w:kern w:val="0"/>
                <w:sz w:val="22"/>
                <w:szCs w:val="24"/>
              </w:rPr>
              <w:t>督查组牵头</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86" w:hRule="atLeast"/>
          <w:jc w:val="center"/>
        </w:trPr>
        <w:tc>
          <w:tcPr>
            <w:tcW w:w="524" w:type="dxa"/>
            <w:vAlign w:val="center"/>
          </w:tcPr>
          <w:p>
            <w:pPr>
              <w:spacing w:line="302" w:lineRule="atLeast"/>
              <w:jc w:val="center"/>
              <w:rPr>
                <w:rFonts w:cs="宋体"/>
                <w:sz w:val="22"/>
                <w:szCs w:val="24"/>
              </w:rPr>
            </w:pPr>
            <w:r>
              <w:rPr>
                <w:rFonts w:hint="eastAsia" w:cs="宋体"/>
                <w:sz w:val="22"/>
                <w:szCs w:val="24"/>
              </w:rPr>
              <w:t>49</w:t>
            </w:r>
          </w:p>
        </w:tc>
        <w:tc>
          <w:tcPr>
            <w:tcW w:w="4014" w:type="dxa"/>
            <w:vAlign w:val="center"/>
          </w:tcPr>
          <w:p>
            <w:pPr>
              <w:spacing w:line="320" w:lineRule="exact"/>
              <w:rPr>
                <w:rFonts w:cs="宋体"/>
                <w:sz w:val="22"/>
                <w:szCs w:val="24"/>
              </w:rPr>
            </w:pPr>
            <w:r>
              <w:rPr>
                <w:rFonts w:hint="eastAsia" w:cs="宋体"/>
                <w:kern w:val="0"/>
                <w:sz w:val="22"/>
                <w:szCs w:val="24"/>
              </w:rPr>
              <w:t>注重调查研究，对改革中出现的重点难点问题和前瞻性、长远性问题进行深入研究，提出对策建议。</w:t>
            </w:r>
          </w:p>
        </w:tc>
        <w:tc>
          <w:tcPr>
            <w:tcW w:w="2246" w:type="dxa"/>
            <w:tcMar>
              <w:top w:w="0" w:type="dxa"/>
              <w:left w:w="0" w:type="dxa"/>
              <w:bottom w:w="0" w:type="dxa"/>
              <w:right w:w="0" w:type="dxa"/>
            </w:tcMar>
            <w:vAlign w:val="center"/>
          </w:tcPr>
          <w:p>
            <w:pPr>
              <w:spacing w:line="302" w:lineRule="atLeast"/>
              <w:jc w:val="center"/>
              <w:rPr>
                <w:rFonts w:hint="eastAsia" w:cs="宋体"/>
                <w:kern w:val="0"/>
                <w:sz w:val="22"/>
                <w:szCs w:val="24"/>
              </w:rPr>
            </w:pPr>
            <w:r>
              <w:rPr>
                <w:rFonts w:hint="eastAsia" w:cs="宋体"/>
                <w:kern w:val="0"/>
                <w:sz w:val="22"/>
                <w:szCs w:val="24"/>
              </w:rPr>
              <w:t>市协调小组</w:t>
            </w:r>
          </w:p>
          <w:p>
            <w:pPr>
              <w:spacing w:line="302" w:lineRule="atLeast"/>
              <w:jc w:val="center"/>
              <w:rPr>
                <w:rFonts w:cs="宋体"/>
                <w:sz w:val="22"/>
                <w:szCs w:val="24"/>
              </w:rPr>
            </w:pPr>
            <w:r>
              <w:rPr>
                <w:rFonts w:hint="eastAsia" w:cs="宋体"/>
                <w:kern w:val="0"/>
                <w:sz w:val="22"/>
                <w:szCs w:val="24"/>
              </w:rPr>
              <w:t>专家组牵头</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379" w:hRule="atLeast"/>
          <w:jc w:val="center"/>
        </w:trPr>
        <w:tc>
          <w:tcPr>
            <w:tcW w:w="524" w:type="dxa"/>
            <w:vAlign w:val="center"/>
          </w:tcPr>
          <w:p>
            <w:pPr>
              <w:spacing w:line="302" w:lineRule="atLeast"/>
              <w:jc w:val="center"/>
              <w:rPr>
                <w:rFonts w:cs="宋体"/>
                <w:sz w:val="22"/>
                <w:szCs w:val="24"/>
              </w:rPr>
            </w:pPr>
            <w:r>
              <w:rPr>
                <w:rFonts w:hint="eastAsia" w:cs="宋体"/>
                <w:kern w:val="0"/>
                <w:sz w:val="22"/>
                <w:szCs w:val="24"/>
              </w:rPr>
              <w:t>50</w:t>
            </w:r>
          </w:p>
        </w:tc>
        <w:tc>
          <w:tcPr>
            <w:tcW w:w="4014" w:type="dxa"/>
            <w:vAlign w:val="center"/>
          </w:tcPr>
          <w:p>
            <w:pPr>
              <w:spacing w:line="320" w:lineRule="exact"/>
              <w:rPr>
                <w:rFonts w:cs="宋体"/>
                <w:sz w:val="22"/>
                <w:szCs w:val="24"/>
              </w:rPr>
            </w:pPr>
            <w:r>
              <w:rPr>
                <w:rFonts w:hint="eastAsia" w:cs="宋体"/>
                <w:kern w:val="0"/>
                <w:sz w:val="22"/>
                <w:szCs w:val="24"/>
              </w:rPr>
              <w:t>建立决策咨询、专家评估、第三方评估机制。重大改革措施出台前，一定要有专家咨询意见、评估意见和第三方评估意见。</w:t>
            </w:r>
          </w:p>
        </w:tc>
        <w:tc>
          <w:tcPr>
            <w:tcW w:w="2246" w:type="dxa"/>
            <w:tcMar>
              <w:top w:w="0" w:type="dxa"/>
              <w:left w:w="0" w:type="dxa"/>
              <w:bottom w:w="0" w:type="dxa"/>
              <w:right w:w="0" w:type="dxa"/>
            </w:tcMar>
            <w:vAlign w:val="center"/>
          </w:tcPr>
          <w:p>
            <w:pPr>
              <w:spacing w:line="302" w:lineRule="atLeast"/>
              <w:jc w:val="center"/>
              <w:rPr>
                <w:rFonts w:hint="eastAsia" w:cs="宋体"/>
                <w:kern w:val="0"/>
                <w:sz w:val="22"/>
                <w:szCs w:val="24"/>
              </w:rPr>
            </w:pPr>
            <w:r>
              <w:rPr>
                <w:rFonts w:hint="eastAsia" w:cs="宋体"/>
                <w:kern w:val="0"/>
                <w:sz w:val="22"/>
                <w:szCs w:val="24"/>
              </w:rPr>
              <w:t>市协调小组</w:t>
            </w:r>
          </w:p>
          <w:p>
            <w:pPr>
              <w:spacing w:line="302" w:lineRule="atLeast"/>
              <w:jc w:val="center"/>
              <w:rPr>
                <w:rFonts w:cs="宋体"/>
                <w:sz w:val="22"/>
                <w:szCs w:val="24"/>
              </w:rPr>
            </w:pPr>
            <w:r>
              <w:rPr>
                <w:rFonts w:hint="eastAsia" w:cs="宋体"/>
                <w:kern w:val="0"/>
                <w:sz w:val="22"/>
                <w:szCs w:val="24"/>
              </w:rPr>
              <w:t>专家组牵头</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56" w:hRule="atLeast"/>
          <w:jc w:val="center"/>
        </w:trPr>
        <w:tc>
          <w:tcPr>
            <w:tcW w:w="524" w:type="dxa"/>
            <w:vAlign w:val="center"/>
          </w:tcPr>
          <w:p>
            <w:pPr>
              <w:spacing w:line="302" w:lineRule="atLeast"/>
              <w:jc w:val="center"/>
              <w:rPr>
                <w:rFonts w:cs="宋体"/>
                <w:sz w:val="22"/>
                <w:szCs w:val="24"/>
              </w:rPr>
            </w:pPr>
            <w:r>
              <w:rPr>
                <w:rFonts w:hint="eastAsia" w:cs="宋体"/>
                <w:kern w:val="0"/>
                <w:sz w:val="22"/>
                <w:szCs w:val="24"/>
              </w:rPr>
              <w:t>51</w:t>
            </w:r>
          </w:p>
        </w:tc>
        <w:tc>
          <w:tcPr>
            <w:tcW w:w="4014" w:type="dxa"/>
            <w:vAlign w:val="center"/>
          </w:tcPr>
          <w:p>
            <w:pPr>
              <w:spacing w:line="320" w:lineRule="exact"/>
              <w:rPr>
                <w:rFonts w:cs="宋体"/>
                <w:sz w:val="22"/>
                <w:szCs w:val="24"/>
              </w:rPr>
            </w:pPr>
            <w:r>
              <w:rPr>
                <w:rFonts w:hint="eastAsia" w:cs="宋体"/>
                <w:kern w:val="0"/>
                <w:sz w:val="22"/>
                <w:szCs w:val="24"/>
              </w:rPr>
              <w:t>建立舆论引导机制。宣传部门要加强对推进简政放权、放管结合、转变政府职能工作的宣传和舆论引导。</w:t>
            </w:r>
          </w:p>
        </w:tc>
        <w:tc>
          <w:tcPr>
            <w:tcW w:w="2246" w:type="dxa"/>
            <w:tcMar>
              <w:top w:w="0" w:type="dxa"/>
              <w:left w:w="0" w:type="dxa"/>
              <w:bottom w:w="0" w:type="dxa"/>
              <w:right w:w="0" w:type="dxa"/>
            </w:tcMar>
            <w:vAlign w:val="center"/>
          </w:tcPr>
          <w:p>
            <w:pPr>
              <w:spacing w:line="302" w:lineRule="atLeast"/>
              <w:jc w:val="center"/>
              <w:rPr>
                <w:rFonts w:hint="eastAsia" w:cs="宋体"/>
                <w:kern w:val="0"/>
                <w:sz w:val="22"/>
                <w:szCs w:val="24"/>
              </w:rPr>
            </w:pPr>
            <w:r>
              <w:rPr>
                <w:rFonts w:hint="eastAsia" w:cs="宋体"/>
                <w:kern w:val="0"/>
                <w:sz w:val="22"/>
                <w:szCs w:val="24"/>
              </w:rPr>
              <w:t>市协调小组</w:t>
            </w:r>
          </w:p>
          <w:p>
            <w:pPr>
              <w:spacing w:line="302" w:lineRule="atLeast"/>
              <w:jc w:val="center"/>
              <w:rPr>
                <w:rFonts w:cs="宋体"/>
                <w:sz w:val="22"/>
                <w:szCs w:val="24"/>
              </w:rPr>
            </w:pPr>
            <w:r>
              <w:rPr>
                <w:rFonts w:hint="eastAsia" w:cs="宋体"/>
                <w:kern w:val="0"/>
                <w:sz w:val="22"/>
                <w:szCs w:val="24"/>
              </w:rPr>
              <w:t>办公室、宣传部</w:t>
            </w:r>
          </w:p>
        </w:tc>
        <w:tc>
          <w:tcPr>
            <w:tcW w:w="2225" w:type="dxa"/>
            <w:tcMar>
              <w:top w:w="0" w:type="dxa"/>
              <w:left w:w="0" w:type="dxa"/>
              <w:bottom w:w="0" w:type="dxa"/>
              <w:right w:w="0" w:type="dxa"/>
            </w:tcMar>
            <w:vAlign w:val="center"/>
          </w:tcPr>
          <w:p>
            <w:pPr>
              <w:spacing w:line="302" w:lineRule="atLeast"/>
              <w:jc w:val="center"/>
              <w:rPr>
                <w:rFonts w:cs="宋体"/>
                <w:sz w:val="22"/>
                <w:szCs w:val="24"/>
              </w:rPr>
            </w:pPr>
            <w:r>
              <w:rPr>
                <w:rFonts w:hint="eastAsia" w:cs="宋体"/>
                <w:kern w:val="0"/>
                <w:sz w:val="22"/>
                <w:szCs w:val="24"/>
              </w:rPr>
              <w:t>全年工作</w:t>
            </w:r>
          </w:p>
        </w:tc>
      </w:tr>
    </w:tbl>
    <w:p>
      <w:pPr/>
      <w:r>
        <w:rPr>
          <w:rFonts w:hint="eastAsia" w:cs="宋体"/>
        </w:rPr>
        <w:t>注：市协调小组办公室要对以上工作任务完成情况进行督办。牵头部门和各专题组、功能组组长单位要及时向市协调小组办公室报送工作进展情况。</w:t>
      </w: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Arial">
    <w:panose1 w:val="020B0604020202020204"/>
    <w:charset w:val="00"/>
    <w:family w:val="decorative"/>
    <w:pitch w:val="default"/>
    <w:sig w:usb0="E0002E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BE5D43"/>
    <w:rsid w:val="65BE5D4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spacing w:val="6"/>
      <w:kern w:val="2"/>
      <w:sz w:val="30"/>
      <w:szCs w:val="30"/>
      <w:lang w:val="en-US" w:eastAsia="zh-CN" w:bidi="ar-SA"/>
    </w:rPr>
  </w:style>
  <w:style w:type="character" w:default="1" w:styleId="2">
    <w:name w:val="Default Paragraph Font"/>
    <w:link w:val="3"/>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3">
    <w:name w:val=" Char Char Char"/>
    <w:basedOn w:val="1"/>
    <w:link w:val="2"/>
    <w:uiPriority w:val="0"/>
  </w:style>
  <w:style w:type="character" w:styleId="4">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2015-12-31T07:43:00Z</dcterms:created>
  <dc:creator>Administrator</dc:creator>
  <cp:lastModifiedBy>Administrator</cp:lastModifiedBy>
  <dcterms:modified xsi:type="dcterms:W3CDTF">2015-12-31T07:44:30Z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