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exact"/>
        <w:rPr>
          <w:rFonts w:ascii="黑体" w:hAnsi="黑体" w:eastAsia="黑体" w:cs="黑体"/>
        </w:rPr>
      </w:pPr>
      <w:r>
        <w:rPr>
          <w:rFonts w:hint="eastAsia" w:ascii="黑体" w:hAnsi="黑体" w:eastAsia="黑体" w:cs="黑体"/>
        </w:rPr>
        <w:t>附  件</w:t>
      </w:r>
    </w:p>
    <w:p>
      <w:pPr>
        <w:spacing w:after="120" w:afterLines="50" w:line="600" w:lineRule="exact"/>
        <w:jc w:val="center"/>
        <w:rPr>
          <w:rFonts w:hint="eastAsia" w:ascii="方正小标宋简体" w:hAnsi="新宋体" w:eastAsia="方正小标宋简体" w:cs="新宋体"/>
          <w:bCs/>
          <w:sz w:val="44"/>
          <w:szCs w:val="44"/>
        </w:rPr>
      </w:pPr>
      <w:r>
        <w:rPr>
          <w:rFonts w:hint="eastAsia" w:ascii="方正小标宋简体" w:hAnsi="新宋体" w:eastAsia="方正小标宋简体" w:cs="新宋体"/>
          <w:bCs/>
          <w:sz w:val="44"/>
          <w:szCs w:val="44"/>
        </w:rPr>
        <w:t>2016年全市环境保</w:t>
      </w:r>
      <w:bookmarkStart w:id="0" w:name="_GoBack"/>
      <w:bookmarkEnd w:id="0"/>
      <w:r>
        <w:rPr>
          <w:rFonts w:hint="eastAsia" w:ascii="方正小标宋简体" w:hAnsi="新宋体" w:eastAsia="方正小标宋简体" w:cs="新宋体"/>
          <w:bCs/>
          <w:sz w:val="44"/>
          <w:szCs w:val="44"/>
        </w:rPr>
        <w:t>护工作意见任务分解台账</w:t>
      </w:r>
    </w:p>
    <w:tbl>
      <w:tblPr>
        <w:tblStyle w:val="8"/>
        <w:tblW w:w="13557" w:type="dxa"/>
        <w:jc w:val="center"/>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3"/>
        <w:gridCol w:w="5809"/>
        <w:gridCol w:w="2122"/>
        <w:gridCol w:w="3128"/>
        <w:gridCol w:w="1159"/>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7" w:hRule="atLeast"/>
          <w:tblHeader/>
          <w:jc w:val="center"/>
        </w:trPr>
        <w:tc>
          <w:tcPr>
            <w:tcW w:w="64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黑体" w:cs="黑体"/>
                <w:b/>
                <w:bCs/>
                <w:spacing w:val="0"/>
                <w:sz w:val="21"/>
                <w:szCs w:val="21"/>
              </w:rPr>
            </w:pPr>
            <w:r>
              <w:rPr>
                <w:rFonts w:hint="eastAsia" w:eastAsia="黑体" w:cs="黑体"/>
                <w:b/>
                <w:bCs/>
                <w:spacing w:val="0"/>
                <w:sz w:val="21"/>
                <w:szCs w:val="21"/>
              </w:rPr>
              <w:t>序号</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黑体" w:cs="黑体"/>
                <w:b/>
                <w:bCs/>
                <w:spacing w:val="0"/>
                <w:sz w:val="21"/>
                <w:szCs w:val="21"/>
              </w:rPr>
            </w:pPr>
            <w:r>
              <w:rPr>
                <w:rFonts w:hint="eastAsia" w:eastAsia="黑体" w:cs="黑体"/>
                <w:b/>
                <w:bCs/>
                <w:spacing w:val="0"/>
                <w:sz w:val="21"/>
                <w:szCs w:val="21"/>
              </w:rPr>
              <w:t>工  作  任  务</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黑体" w:cs="黑体"/>
                <w:b/>
                <w:bCs/>
                <w:spacing w:val="0"/>
                <w:sz w:val="21"/>
                <w:szCs w:val="21"/>
              </w:rPr>
            </w:pPr>
            <w:r>
              <w:rPr>
                <w:rFonts w:hint="eastAsia" w:eastAsia="黑体" w:cs="黑体"/>
                <w:b/>
                <w:bCs/>
                <w:spacing w:val="0"/>
                <w:sz w:val="21"/>
                <w:szCs w:val="21"/>
              </w:rPr>
              <w:t>牵头单位</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黑体" w:cs="黑体"/>
                <w:b/>
                <w:bCs/>
                <w:spacing w:val="0"/>
                <w:sz w:val="21"/>
                <w:szCs w:val="21"/>
              </w:rPr>
            </w:pPr>
            <w:r>
              <w:rPr>
                <w:rFonts w:hint="eastAsia" w:eastAsia="黑体" w:cs="黑体"/>
                <w:b/>
                <w:bCs/>
                <w:spacing w:val="0"/>
                <w:sz w:val="21"/>
                <w:szCs w:val="21"/>
              </w:rPr>
              <w:t>责任单位</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黑体" w:cs="黑体"/>
                <w:b/>
                <w:bCs/>
                <w:spacing w:val="0"/>
                <w:sz w:val="21"/>
                <w:szCs w:val="21"/>
              </w:rPr>
            </w:pPr>
            <w:r>
              <w:rPr>
                <w:rFonts w:hint="eastAsia" w:eastAsia="黑体" w:cs="黑体"/>
                <w:b/>
                <w:bCs/>
                <w:spacing w:val="0"/>
                <w:sz w:val="21"/>
                <w:szCs w:val="21"/>
              </w:rPr>
              <w:t>完成时限</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黑体" w:cs="黑体"/>
                <w:b/>
                <w:bCs/>
                <w:spacing w:val="0"/>
                <w:sz w:val="21"/>
                <w:szCs w:val="21"/>
              </w:rPr>
            </w:pPr>
            <w:r>
              <w:rPr>
                <w:rFonts w:hint="eastAsia" w:eastAsia="黑体" w:cs="黑体"/>
                <w:b/>
                <w:bCs/>
                <w:spacing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5"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黑体" w:cs="黑体"/>
                <w:spacing w:val="0"/>
                <w:sz w:val="21"/>
                <w:szCs w:val="21"/>
              </w:rPr>
            </w:pPr>
            <w:r>
              <w:rPr>
                <w:rFonts w:hint="eastAsia" w:eastAsia="黑体" w:cs="黑体"/>
                <w:spacing w:val="0"/>
                <w:sz w:val="21"/>
                <w:szCs w:val="21"/>
              </w:rPr>
              <w:t>一</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eastAsia="黑体" w:cs="黑体"/>
                <w:spacing w:val="0"/>
                <w:sz w:val="21"/>
                <w:szCs w:val="21"/>
              </w:rPr>
            </w:pPr>
            <w:r>
              <w:rPr>
                <w:rFonts w:hint="eastAsia" w:eastAsia="黑体" w:cs="黑体"/>
                <w:spacing w:val="0"/>
                <w:sz w:val="21"/>
                <w:szCs w:val="21"/>
              </w:rPr>
              <w:t>突出一个核心</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黑体" w:cs="黑体"/>
                <w:spacing w:val="0"/>
                <w:sz w:val="21"/>
                <w:szCs w:val="21"/>
              </w:rPr>
            </w:pP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黑体" w:cs="黑体"/>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黑体" w:cs="黑体"/>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黑体" w:cs="黑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44"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新宋体" w:cs="新宋体"/>
                <w:spacing w:val="0"/>
                <w:sz w:val="21"/>
                <w:szCs w:val="21"/>
              </w:rPr>
            </w:pPr>
            <w:r>
              <w:rPr>
                <w:rFonts w:hint="eastAsia" w:eastAsia="宋体" w:cs="宋体"/>
                <w:spacing w:val="0"/>
                <w:sz w:val="21"/>
                <w:szCs w:val="21"/>
              </w:rPr>
              <w:t>1</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突出环境质量改善这一核心，划定生态环境保护红线，制定项目环评负面清单，狠抓环境综合整治，完善部门联动、齐抓共管机制，严格依法行政，坚持多措并举，落实各项污染治理重点工程任务，减少污染物排放强度和总量，促进产业转型升级，推动经济健康、较快发展。</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市发展和改革委员会、市工业和信息化委员会、市住房和城乡建设局、市农牧局等有关部门</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黑体" w:cs="黑体"/>
                <w:spacing w:val="0"/>
                <w:sz w:val="21"/>
                <w:szCs w:val="21"/>
              </w:rPr>
            </w:pPr>
            <w:r>
              <w:rPr>
                <w:rFonts w:hint="eastAsia" w:eastAsia="黑体" w:cs="黑体"/>
                <w:spacing w:val="0"/>
                <w:sz w:val="21"/>
                <w:szCs w:val="21"/>
              </w:rPr>
              <w:t>二</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eastAsia="黑体" w:cs="黑体"/>
                <w:spacing w:val="0"/>
                <w:sz w:val="21"/>
                <w:szCs w:val="21"/>
              </w:rPr>
            </w:pPr>
            <w:r>
              <w:rPr>
                <w:rFonts w:hint="eastAsia" w:eastAsia="黑体" w:cs="黑体"/>
                <w:spacing w:val="0"/>
                <w:sz w:val="21"/>
                <w:szCs w:val="21"/>
              </w:rPr>
              <w:t>抓好三大工程</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（一）</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大气污染防治工程</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94"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新宋体" w:cs="新宋体"/>
                <w:spacing w:val="0"/>
                <w:sz w:val="21"/>
                <w:szCs w:val="21"/>
              </w:rPr>
            </w:pPr>
            <w:r>
              <w:rPr>
                <w:rFonts w:hint="eastAsia" w:eastAsia="宋体" w:cs="宋体"/>
                <w:spacing w:val="0"/>
                <w:sz w:val="21"/>
                <w:szCs w:val="21"/>
              </w:rPr>
              <w:t>2</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抓好沁北电厂超低排放改造项目，确保各项污染物指标达到排放限值。</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沁北电厂</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94"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新宋体" w:cs="新宋体"/>
                <w:spacing w:val="0"/>
                <w:sz w:val="21"/>
                <w:szCs w:val="21"/>
              </w:rPr>
            </w:pPr>
            <w:r>
              <w:rPr>
                <w:rFonts w:hint="eastAsia" w:eastAsia="宋体" w:cs="宋体"/>
                <w:spacing w:val="0"/>
                <w:sz w:val="21"/>
                <w:szCs w:val="21"/>
              </w:rPr>
              <w:t>3</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抓好国电豫源超低排放改造项目，确保各项污染物指标达到排放限值。</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国电豫源</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新宋体" w:cs="新宋体"/>
                <w:spacing w:val="0"/>
                <w:sz w:val="21"/>
                <w:szCs w:val="21"/>
              </w:rPr>
            </w:pPr>
            <w:r>
              <w:rPr>
                <w:rFonts w:hint="eastAsia" w:eastAsia="宋体" w:cs="宋体"/>
                <w:spacing w:val="0"/>
                <w:sz w:val="21"/>
                <w:szCs w:val="21"/>
              </w:rPr>
              <w:t>4</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深化济源钢铁环境综合整治，严控烟粉尘排放。</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济源钢铁</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85"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新宋体" w:cs="新宋体"/>
                <w:spacing w:val="0"/>
                <w:sz w:val="21"/>
                <w:szCs w:val="21"/>
              </w:rPr>
            </w:pPr>
            <w:r>
              <w:rPr>
                <w:rFonts w:hint="eastAsia" w:eastAsia="宋体" w:cs="宋体"/>
                <w:spacing w:val="0"/>
                <w:sz w:val="21"/>
                <w:szCs w:val="21"/>
              </w:rPr>
              <w:t>5</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抓好豫光金铅股份含锌铜渣料资源综合利用和冶炼废气重金属污染物深度治理项目，减少废气无组织排放。</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豫光金铅</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6"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新宋体" w:cs="新宋体"/>
                <w:spacing w:val="0"/>
                <w:sz w:val="21"/>
                <w:szCs w:val="21"/>
              </w:rPr>
            </w:pPr>
            <w:r>
              <w:rPr>
                <w:rFonts w:hint="eastAsia" w:eastAsia="宋体" w:cs="宋体"/>
                <w:spacing w:val="0"/>
                <w:sz w:val="21"/>
                <w:szCs w:val="21"/>
              </w:rPr>
              <w:t>6</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抓好万洋冶炼废气重金属污染物深度治理，减少废气无组织排放。</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万洋冶炼</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54"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新宋体" w:cs="新宋体"/>
                <w:spacing w:val="0"/>
                <w:sz w:val="21"/>
                <w:szCs w:val="21"/>
              </w:rPr>
            </w:pPr>
            <w:r>
              <w:rPr>
                <w:rFonts w:hint="eastAsia" w:eastAsia="宋体" w:cs="宋体"/>
                <w:spacing w:val="0"/>
                <w:sz w:val="21"/>
                <w:szCs w:val="21"/>
              </w:rPr>
              <w:t>7</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抓好金利金铅冶炼废气重金属污染物深度治理，减少废气无组织排放。</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金利金铅</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8</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完成金马能源烟气脱硫脱硝治理工程，确保实现稳定达标排放。</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金马能源</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6月30日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9</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完成豫港焦化焦炉烟气脱硫治理工程，确保实现稳定达标排放。</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豫港焦化</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6月30日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10</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完成金康达玻璃脱硫脱硝治理工程。</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金康达玻璃</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6月30日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11</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完成耀辉玻璃脱硫脱硝治理工程。</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耀辉玻璃</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6月30日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12</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完成向前玻璃脱硫脱硝治理工程。</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向前玻璃</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6月30日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13</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完成金信实业脱硫脱硝治理工程。</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金信实业</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6月30日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9"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14</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深化砖瓦、耐火材料和非煤矿山等企业的烟粉尘综合治理，确保达到行业排放标准要求。</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各有关企业</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1"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15</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对国道、省道、干线公路强化车辆密闭运输和渣土车管理，加大道路清扫和洒水频次，严格控制道路扬尘。</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市交通运输局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11"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16</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合理划定各产业集聚（开发）区、镇（街道）的清扫范围，明确相关要求，健全完善扬尘监管制度。</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市住房和城乡建设局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各产业集聚（开发）区管委会、各镇人民政府、各街道办事处</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17</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严格落实“六个100%”措施控制施工扬尘，即施工现场100%围挡、扬尘物料堆放100%覆盖、施工现场路面100%硬化、驶出工地车辆100%冲洗、拆迁工地100%湿法作业、渣土运输车辆100%密闭。</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市住房和城乡建设局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各项目建设施工业主单位</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14"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18</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推行精细化管理，全力推进物料装卸、堆存和输送环节气态污染物和扬尘污染防治，做好易产生扬尘的物料粉尘治理，完善降尘设施，减少扬尘污染。</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各有关企业</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19</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扩大高污染燃料禁燃区范围，整治煤炭和煤球生产企业，严格煤质管控，禁止销售和使用劣质煤；抓好各类燃煤锅炉提标治理和清洁能源改造，关停集中供热和供气覆盖范围内的燃煤锅炉。</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市工业和信息化委员会、市安全生产监督管理局、市质量技术监督局和有关产业集聚（开发）区管委会、镇人民政府、街道办事处以及有关单位</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20</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出台补助政策措施，确保完成省定黄标车淘汰任务。</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市公安局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7"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21</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建设综合管理平台，落实机动车尾气检测制度，强化机动车环境管理。</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机动车尾气检测单位</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22</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扩大限行区域，严查黄标车、未张贴环保标志车辆和大型货车驶入限行区域。</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市公安局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22"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23</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集中排查整治石化、机械加工、喷涂等行业的挥发性有机物污染。</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8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24</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督促城市建成区内的中型以上饮食服务场所分批逐步安装高效油烟净化设施。</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4"/>
                <w:sz w:val="21"/>
                <w:szCs w:val="21"/>
              </w:rPr>
            </w:pPr>
            <w:r>
              <w:rPr>
                <w:rFonts w:hint="eastAsia" w:cs="仿宋_GB2312"/>
                <w:spacing w:val="-4"/>
                <w:sz w:val="21"/>
                <w:szCs w:val="21"/>
              </w:rPr>
              <w:t>市食品药品监督管理局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25</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划定禁烧区域，禁止露天烧烤，防范大气污染。</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4"/>
                <w:sz w:val="21"/>
                <w:szCs w:val="21"/>
              </w:rPr>
            </w:pPr>
            <w:r>
              <w:rPr>
                <w:rFonts w:hint="eastAsia" w:cs="仿宋_GB2312"/>
                <w:spacing w:val="-4"/>
                <w:sz w:val="21"/>
                <w:szCs w:val="21"/>
              </w:rPr>
              <w:t>市食品药品监督管理局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26</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划定禁放区域，禁止燃放烟花爆竹，防范大气污染。</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市公安局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（二）</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水污染防治工程</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55"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27</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依法关闭取缔规模小、工艺装备落后、排污量大的工业企业，专项整治焦化、农副食品加工、毛皮制革、有色金属冶炼、医药制造、电镀等重点水污染物排放行业，实施清洁化改造。</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4"/>
                <w:sz w:val="21"/>
                <w:szCs w:val="21"/>
              </w:rPr>
            </w:pPr>
            <w:r>
              <w:rPr>
                <w:rFonts w:hint="eastAsia" w:cs="仿宋_GB2312"/>
                <w:spacing w:val="-4"/>
                <w:sz w:val="21"/>
                <w:szCs w:val="21"/>
              </w:rPr>
              <w:t>市工业和信息化委员会</w:t>
            </w:r>
          </w:p>
          <w:p>
            <w:pPr>
              <w:spacing w:line="34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6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28</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抓好沁北电厂、济源钢铁、金马能源、富士康科技、中沃饮料的废水深度治理工程，在完成提标改造工程的基础上，监管其污染防治设施安全稳定运行，实现稳定达标排放。</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沁北电厂、济源钢铁、金马能源、富士康科技、中沃饮料</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35"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29</w:t>
            </w:r>
          </w:p>
        </w:tc>
        <w:tc>
          <w:tcPr>
            <w:tcW w:w="5809" w:type="dxa"/>
            <w:tcBorders>
              <w:top w:val="single" w:color="auto" w:sz="4" w:space="0"/>
              <w:left w:val="single" w:color="auto" w:sz="4" w:space="0"/>
              <w:bottom w:val="single" w:color="auto" w:sz="4" w:space="0"/>
              <w:right w:val="single" w:color="auto" w:sz="4" w:space="0"/>
            </w:tcBorders>
            <w:vAlign w:val="center"/>
          </w:tcPr>
          <w:p>
            <w:pPr>
              <w:spacing w:line="260" w:lineRule="exact"/>
              <w:rPr>
                <w:rFonts w:cs="仿宋_GB2312"/>
                <w:spacing w:val="0"/>
                <w:sz w:val="21"/>
                <w:szCs w:val="21"/>
              </w:rPr>
            </w:pPr>
            <w:r>
              <w:rPr>
                <w:rFonts w:hint="eastAsia" w:cs="仿宋_GB2312"/>
                <w:spacing w:val="0"/>
                <w:sz w:val="21"/>
                <w:szCs w:val="21"/>
              </w:rPr>
              <w:t>制定城市污水管网建设计划，确保主城区的生活污水全部收集处理到位。建设影响苇泉河水质的行政一区、职教园区及高新技术产业开发区开南路周边的生活污水管网建设工程，确保生活污水进入污水处理厂处理。</w:t>
            </w:r>
          </w:p>
        </w:tc>
        <w:tc>
          <w:tcPr>
            <w:tcW w:w="21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0"/>
                <w:sz w:val="21"/>
                <w:szCs w:val="21"/>
              </w:rPr>
            </w:pPr>
            <w:r>
              <w:rPr>
                <w:rFonts w:hint="eastAsia" w:cs="仿宋_GB2312"/>
                <w:spacing w:val="0"/>
                <w:sz w:val="21"/>
                <w:szCs w:val="21"/>
              </w:rPr>
              <w:t>市住房和城乡建设局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2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30</w:t>
            </w:r>
          </w:p>
        </w:tc>
        <w:tc>
          <w:tcPr>
            <w:tcW w:w="5809" w:type="dxa"/>
            <w:tcBorders>
              <w:top w:val="single" w:color="auto" w:sz="4" w:space="0"/>
              <w:left w:val="single" w:color="auto" w:sz="4" w:space="0"/>
              <w:bottom w:val="single" w:color="auto" w:sz="4" w:space="0"/>
              <w:right w:val="single" w:color="auto" w:sz="4" w:space="0"/>
            </w:tcBorders>
            <w:vAlign w:val="center"/>
          </w:tcPr>
          <w:p>
            <w:pPr>
              <w:spacing w:line="260" w:lineRule="exact"/>
              <w:rPr>
                <w:rFonts w:cs="仿宋_GB2312"/>
                <w:spacing w:val="0"/>
                <w:sz w:val="21"/>
                <w:szCs w:val="21"/>
              </w:rPr>
            </w:pPr>
            <w:r>
              <w:rPr>
                <w:rFonts w:hint="eastAsia" w:cs="仿宋_GB2312"/>
                <w:spacing w:val="0"/>
                <w:sz w:val="21"/>
                <w:szCs w:val="21"/>
              </w:rPr>
              <w:t>实施重点区域污水支管网建设，与城市污水主管网连接，打通城市污水主管网瓶颈，建设覆盖高新、虎岭、玉川3个产业集聚（开发）区和思礼、克井、轵城、承留、梨林5镇镇区的排污主管网。</w:t>
            </w:r>
          </w:p>
        </w:tc>
        <w:tc>
          <w:tcPr>
            <w:tcW w:w="21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0"/>
                <w:sz w:val="21"/>
                <w:szCs w:val="21"/>
              </w:rPr>
            </w:pPr>
            <w:r>
              <w:rPr>
                <w:rFonts w:hint="eastAsia" w:cs="仿宋_GB2312"/>
                <w:spacing w:val="0"/>
                <w:sz w:val="21"/>
                <w:szCs w:val="21"/>
              </w:rPr>
              <w:t>市住房和城乡建设局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0"/>
                <w:sz w:val="21"/>
                <w:szCs w:val="21"/>
              </w:rPr>
            </w:pPr>
            <w:r>
              <w:rPr>
                <w:rFonts w:hint="eastAsia" w:cs="仿宋_GB2312"/>
                <w:spacing w:val="0"/>
                <w:sz w:val="21"/>
                <w:szCs w:val="21"/>
              </w:rPr>
              <w:t>各产业集聚（开发）区管委会和思礼镇、克井镇、轵城镇、承留镇、梨林镇人民政府</w:t>
            </w:r>
          </w:p>
        </w:tc>
        <w:tc>
          <w:tcPr>
            <w:tcW w:w="115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31</w:t>
            </w:r>
          </w:p>
        </w:tc>
        <w:tc>
          <w:tcPr>
            <w:tcW w:w="5809" w:type="dxa"/>
            <w:tcBorders>
              <w:top w:val="single" w:color="auto" w:sz="4" w:space="0"/>
              <w:left w:val="single" w:color="auto" w:sz="4" w:space="0"/>
              <w:bottom w:val="single" w:color="auto" w:sz="4" w:space="0"/>
              <w:right w:val="single" w:color="auto" w:sz="4" w:space="0"/>
            </w:tcBorders>
            <w:vAlign w:val="center"/>
          </w:tcPr>
          <w:p>
            <w:pPr>
              <w:spacing w:line="260" w:lineRule="exact"/>
              <w:rPr>
                <w:rFonts w:cs="仿宋_GB2312"/>
                <w:spacing w:val="0"/>
                <w:sz w:val="21"/>
                <w:szCs w:val="21"/>
              </w:rPr>
            </w:pPr>
            <w:r>
              <w:rPr>
                <w:rFonts w:hint="eastAsia" w:cs="仿宋_GB2312"/>
                <w:spacing w:val="0"/>
                <w:sz w:val="21"/>
                <w:szCs w:val="21"/>
              </w:rPr>
              <w:t>监管城市污水处理厂、第二污水处理厂正常运行。</w:t>
            </w:r>
          </w:p>
        </w:tc>
        <w:tc>
          <w:tcPr>
            <w:tcW w:w="21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0"/>
                <w:sz w:val="21"/>
                <w:szCs w:val="21"/>
              </w:rPr>
            </w:pPr>
            <w:r>
              <w:rPr>
                <w:rFonts w:hint="eastAsia" w:cs="仿宋_GB2312"/>
                <w:spacing w:val="0"/>
                <w:sz w:val="21"/>
                <w:szCs w:val="21"/>
              </w:rPr>
              <w:t>市住房和城乡建设局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260" w:lineRule="exact"/>
              <w:rPr>
                <w:rFonts w:cs="仿宋_GB2312"/>
                <w:spacing w:val="0"/>
                <w:sz w:val="21"/>
                <w:szCs w:val="21"/>
              </w:rPr>
            </w:pPr>
            <w:r>
              <w:rPr>
                <w:rFonts w:hint="eastAsia" w:cs="仿宋_GB2312"/>
                <w:spacing w:val="0"/>
                <w:sz w:val="21"/>
                <w:szCs w:val="21"/>
              </w:rPr>
              <w:t>城市污水处理厂、第二污水处理厂</w:t>
            </w:r>
          </w:p>
        </w:tc>
        <w:tc>
          <w:tcPr>
            <w:tcW w:w="115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32</w:t>
            </w:r>
          </w:p>
        </w:tc>
        <w:tc>
          <w:tcPr>
            <w:tcW w:w="5809" w:type="dxa"/>
            <w:tcBorders>
              <w:top w:val="single" w:color="auto" w:sz="4" w:space="0"/>
              <w:left w:val="single" w:color="auto" w:sz="4" w:space="0"/>
              <w:bottom w:val="single" w:color="auto" w:sz="4" w:space="0"/>
              <w:right w:val="single" w:color="auto" w:sz="4" w:space="0"/>
            </w:tcBorders>
            <w:vAlign w:val="center"/>
          </w:tcPr>
          <w:p>
            <w:pPr>
              <w:spacing w:line="260" w:lineRule="exact"/>
              <w:rPr>
                <w:rFonts w:cs="仿宋_GB2312"/>
                <w:spacing w:val="0"/>
                <w:sz w:val="21"/>
                <w:szCs w:val="21"/>
              </w:rPr>
            </w:pPr>
            <w:r>
              <w:rPr>
                <w:rFonts w:hint="eastAsia" w:cs="仿宋_GB2312"/>
                <w:spacing w:val="0"/>
                <w:sz w:val="21"/>
                <w:szCs w:val="21"/>
              </w:rPr>
              <w:t>监管玉川产业集聚区污水处理厂正常运行。</w:t>
            </w:r>
          </w:p>
        </w:tc>
        <w:tc>
          <w:tcPr>
            <w:tcW w:w="21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4"/>
                <w:sz w:val="21"/>
                <w:szCs w:val="21"/>
              </w:rPr>
            </w:pPr>
            <w:r>
              <w:rPr>
                <w:rFonts w:hint="eastAsia" w:cs="仿宋_GB2312"/>
                <w:spacing w:val="-4"/>
                <w:sz w:val="21"/>
                <w:szCs w:val="21"/>
              </w:rPr>
              <w:t>玉川产业集聚区管委会</w:t>
            </w:r>
          </w:p>
        </w:tc>
        <w:tc>
          <w:tcPr>
            <w:tcW w:w="312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33</w:t>
            </w:r>
          </w:p>
        </w:tc>
        <w:tc>
          <w:tcPr>
            <w:tcW w:w="5809" w:type="dxa"/>
            <w:tcBorders>
              <w:top w:val="single" w:color="auto" w:sz="4" w:space="0"/>
              <w:left w:val="single" w:color="auto" w:sz="4" w:space="0"/>
              <w:bottom w:val="single" w:color="auto" w:sz="4" w:space="0"/>
              <w:right w:val="single" w:color="auto" w:sz="4" w:space="0"/>
            </w:tcBorders>
            <w:vAlign w:val="center"/>
          </w:tcPr>
          <w:p>
            <w:pPr>
              <w:spacing w:line="260" w:lineRule="exact"/>
              <w:rPr>
                <w:rFonts w:cs="仿宋_GB2312"/>
                <w:spacing w:val="0"/>
                <w:sz w:val="21"/>
                <w:szCs w:val="21"/>
              </w:rPr>
            </w:pPr>
            <w:r>
              <w:rPr>
                <w:rFonts w:hint="eastAsia" w:cs="仿宋_GB2312"/>
                <w:spacing w:val="0"/>
                <w:sz w:val="21"/>
                <w:szCs w:val="21"/>
              </w:rPr>
              <w:t>监管坡头城镇污水处理厂正常运行。</w:t>
            </w:r>
          </w:p>
        </w:tc>
        <w:tc>
          <w:tcPr>
            <w:tcW w:w="21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0"/>
                <w:sz w:val="21"/>
                <w:szCs w:val="21"/>
              </w:rPr>
            </w:pPr>
            <w:r>
              <w:rPr>
                <w:rFonts w:hint="eastAsia" w:cs="仿宋_GB2312"/>
                <w:spacing w:val="0"/>
                <w:sz w:val="21"/>
                <w:szCs w:val="21"/>
              </w:rPr>
              <w:t>坡头镇人民政府</w:t>
            </w:r>
          </w:p>
        </w:tc>
        <w:tc>
          <w:tcPr>
            <w:tcW w:w="312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5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34</w:t>
            </w:r>
          </w:p>
        </w:tc>
        <w:tc>
          <w:tcPr>
            <w:tcW w:w="5809" w:type="dxa"/>
            <w:tcBorders>
              <w:top w:val="single" w:color="auto" w:sz="4" w:space="0"/>
              <w:left w:val="single" w:color="auto" w:sz="4" w:space="0"/>
              <w:bottom w:val="single" w:color="auto" w:sz="4" w:space="0"/>
              <w:right w:val="single" w:color="auto" w:sz="4" w:space="0"/>
            </w:tcBorders>
            <w:vAlign w:val="center"/>
          </w:tcPr>
          <w:p>
            <w:pPr>
              <w:spacing w:line="260" w:lineRule="exact"/>
              <w:rPr>
                <w:rFonts w:cs="仿宋_GB2312"/>
                <w:spacing w:val="0"/>
                <w:sz w:val="21"/>
                <w:szCs w:val="21"/>
              </w:rPr>
            </w:pPr>
            <w:r>
              <w:rPr>
                <w:rFonts w:hint="eastAsia" w:cs="仿宋_GB2312"/>
                <w:spacing w:val="0"/>
                <w:sz w:val="21"/>
                <w:szCs w:val="21"/>
              </w:rPr>
              <w:t>对禁养区内的养殖场、养殖小区和养殖户，依法关闭、搬迁到位。</w:t>
            </w:r>
          </w:p>
        </w:tc>
        <w:tc>
          <w:tcPr>
            <w:tcW w:w="21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0"/>
                <w:sz w:val="21"/>
                <w:szCs w:val="21"/>
              </w:rPr>
            </w:pPr>
            <w:r>
              <w:rPr>
                <w:rFonts w:hint="eastAsia" w:cs="仿宋_GB2312"/>
                <w:spacing w:val="0"/>
                <w:sz w:val="21"/>
                <w:szCs w:val="21"/>
              </w:rPr>
              <w:t>市农牧局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4"/>
                <w:sz w:val="21"/>
                <w:szCs w:val="21"/>
              </w:rPr>
            </w:pPr>
            <w:r>
              <w:rPr>
                <w:rFonts w:hint="eastAsia" w:cs="仿宋_GB2312"/>
                <w:spacing w:val="-4"/>
                <w:sz w:val="21"/>
                <w:szCs w:val="21"/>
              </w:rPr>
              <w:t>各有关产业集聚（开发）区管委会和镇人民政府、街道办事处</w:t>
            </w:r>
          </w:p>
        </w:tc>
        <w:tc>
          <w:tcPr>
            <w:tcW w:w="115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5"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35</w:t>
            </w:r>
          </w:p>
        </w:tc>
        <w:tc>
          <w:tcPr>
            <w:tcW w:w="5809" w:type="dxa"/>
            <w:tcBorders>
              <w:top w:val="single" w:color="auto" w:sz="4" w:space="0"/>
              <w:left w:val="single" w:color="auto" w:sz="4" w:space="0"/>
              <w:bottom w:val="single" w:color="auto" w:sz="4" w:space="0"/>
              <w:right w:val="single" w:color="auto" w:sz="4" w:space="0"/>
            </w:tcBorders>
            <w:vAlign w:val="center"/>
          </w:tcPr>
          <w:p>
            <w:pPr>
              <w:spacing w:line="260" w:lineRule="exact"/>
              <w:rPr>
                <w:rFonts w:cs="仿宋_GB2312"/>
                <w:spacing w:val="0"/>
                <w:sz w:val="21"/>
                <w:szCs w:val="21"/>
              </w:rPr>
            </w:pPr>
            <w:r>
              <w:rPr>
                <w:rFonts w:hint="eastAsia" w:cs="仿宋_GB2312"/>
                <w:spacing w:val="0"/>
                <w:sz w:val="21"/>
                <w:szCs w:val="21"/>
              </w:rPr>
              <w:t>对非禁养区内的规模以上养殖场和养殖小区，限期完成污染防治设施建设并通过验收，确保养殖废水综合利用不外排。</w:t>
            </w:r>
          </w:p>
        </w:tc>
        <w:tc>
          <w:tcPr>
            <w:tcW w:w="21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4"/>
                <w:sz w:val="21"/>
                <w:szCs w:val="21"/>
              </w:rPr>
            </w:pPr>
            <w:r>
              <w:rPr>
                <w:rFonts w:hint="eastAsia" w:cs="仿宋_GB2312"/>
                <w:spacing w:val="-4"/>
                <w:sz w:val="21"/>
                <w:szCs w:val="21"/>
              </w:rPr>
              <w:t>各有关产业集聚（开发）区管委会和镇人民政府、街道办事处</w:t>
            </w:r>
          </w:p>
        </w:tc>
        <w:tc>
          <w:tcPr>
            <w:tcW w:w="115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5"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36</w:t>
            </w:r>
          </w:p>
        </w:tc>
        <w:tc>
          <w:tcPr>
            <w:tcW w:w="5809" w:type="dxa"/>
            <w:tcBorders>
              <w:top w:val="single" w:color="auto" w:sz="4" w:space="0"/>
              <w:left w:val="single" w:color="auto" w:sz="4" w:space="0"/>
              <w:bottom w:val="single" w:color="auto" w:sz="4" w:space="0"/>
              <w:right w:val="single" w:color="auto" w:sz="4" w:space="0"/>
            </w:tcBorders>
            <w:vAlign w:val="center"/>
          </w:tcPr>
          <w:p>
            <w:pPr>
              <w:spacing w:line="260" w:lineRule="exact"/>
              <w:rPr>
                <w:rFonts w:cs="仿宋_GB2312"/>
                <w:spacing w:val="0"/>
                <w:sz w:val="21"/>
                <w:szCs w:val="21"/>
              </w:rPr>
            </w:pPr>
            <w:r>
              <w:rPr>
                <w:rFonts w:hint="eastAsia" w:cs="仿宋_GB2312"/>
                <w:spacing w:val="0"/>
                <w:sz w:val="21"/>
                <w:szCs w:val="21"/>
              </w:rPr>
              <w:t>对非禁养区内的规模以下养殖场和养殖小区，限期完成污染防治设施建设并通过验收，确保养殖废水综合利用不外排。</w:t>
            </w:r>
          </w:p>
        </w:tc>
        <w:tc>
          <w:tcPr>
            <w:tcW w:w="21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0"/>
                <w:sz w:val="21"/>
                <w:szCs w:val="21"/>
              </w:rPr>
            </w:pPr>
            <w:r>
              <w:rPr>
                <w:rFonts w:hint="eastAsia" w:cs="仿宋_GB2312"/>
                <w:spacing w:val="0"/>
                <w:sz w:val="21"/>
                <w:szCs w:val="21"/>
              </w:rPr>
              <w:t>市农牧局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4"/>
                <w:sz w:val="21"/>
                <w:szCs w:val="21"/>
              </w:rPr>
            </w:pPr>
            <w:r>
              <w:rPr>
                <w:rFonts w:hint="eastAsia" w:cs="仿宋_GB2312"/>
                <w:spacing w:val="-4"/>
                <w:sz w:val="21"/>
                <w:szCs w:val="21"/>
              </w:rPr>
              <w:t>各有关产业集聚（开发）区管委会和镇人民政府、街道办事处</w:t>
            </w:r>
          </w:p>
        </w:tc>
        <w:tc>
          <w:tcPr>
            <w:tcW w:w="115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65"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37</w:t>
            </w:r>
          </w:p>
        </w:tc>
        <w:tc>
          <w:tcPr>
            <w:tcW w:w="5809" w:type="dxa"/>
            <w:tcBorders>
              <w:top w:val="single" w:color="auto" w:sz="4" w:space="0"/>
              <w:left w:val="single" w:color="auto" w:sz="4" w:space="0"/>
              <w:bottom w:val="single" w:color="auto" w:sz="4" w:space="0"/>
              <w:right w:val="single" w:color="auto" w:sz="4" w:space="0"/>
            </w:tcBorders>
            <w:vAlign w:val="center"/>
          </w:tcPr>
          <w:p>
            <w:pPr>
              <w:spacing w:line="260" w:lineRule="exact"/>
              <w:rPr>
                <w:rFonts w:cs="仿宋_GB2312"/>
                <w:spacing w:val="0"/>
                <w:sz w:val="21"/>
                <w:szCs w:val="21"/>
              </w:rPr>
            </w:pPr>
            <w:r>
              <w:rPr>
                <w:rFonts w:hint="eastAsia" w:cs="仿宋_GB2312"/>
                <w:spacing w:val="0"/>
                <w:sz w:val="21"/>
                <w:szCs w:val="21"/>
              </w:rPr>
              <w:t>新增规模养殖场和养殖小区排放污染物的，必须关停现有污染物排放量大、治理设施差的养殖场或养殖小区，腾出环境容量总量。</w:t>
            </w:r>
          </w:p>
        </w:tc>
        <w:tc>
          <w:tcPr>
            <w:tcW w:w="21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0"/>
                <w:sz w:val="21"/>
                <w:szCs w:val="21"/>
              </w:rPr>
            </w:pPr>
            <w:r>
              <w:rPr>
                <w:rFonts w:hint="eastAsia" w:cs="仿宋_GB2312"/>
                <w:spacing w:val="0"/>
                <w:sz w:val="21"/>
                <w:szCs w:val="21"/>
              </w:rPr>
              <w:t>市农牧局</w:t>
            </w:r>
          </w:p>
          <w:p>
            <w:pPr>
              <w:spacing w:line="26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4"/>
                <w:sz w:val="21"/>
                <w:szCs w:val="21"/>
              </w:rPr>
            </w:pPr>
            <w:r>
              <w:rPr>
                <w:rFonts w:hint="eastAsia" w:cs="仿宋_GB2312"/>
                <w:spacing w:val="-4"/>
                <w:sz w:val="21"/>
                <w:szCs w:val="21"/>
              </w:rPr>
              <w:t>各有关产业集聚（开发）区管委会和镇人民政府、街道办事处</w:t>
            </w:r>
          </w:p>
        </w:tc>
        <w:tc>
          <w:tcPr>
            <w:tcW w:w="115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8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38</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仿宋_GB2312"/>
                <w:spacing w:val="0"/>
                <w:sz w:val="21"/>
                <w:szCs w:val="21"/>
              </w:rPr>
            </w:pPr>
            <w:r>
              <w:rPr>
                <w:rFonts w:hint="eastAsia" w:cs="仿宋_GB2312"/>
                <w:spacing w:val="0"/>
                <w:sz w:val="21"/>
                <w:szCs w:val="21"/>
              </w:rPr>
              <w:t>制定整治计划和年度实施方案，建立“黑臭”水体档案，向社会公布黑臭水体名称、责任人及达标期限；对城市水体采取控源截污、垃圾清理、清淤疏浚、生态修复等措施，加大黑臭水体治理力度。</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市住房和城乡建设局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39</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仿宋_GB2312"/>
                <w:spacing w:val="-4"/>
                <w:sz w:val="21"/>
                <w:szCs w:val="21"/>
              </w:rPr>
            </w:pPr>
            <w:r>
              <w:rPr>
                <w:rFonts w:hint="eastAsia" w:cs="仿宋_GB2312"/>
                <w:spacing w:val="-4"/>
                <w:sz w:val="21"/>
                <w:szCs w:val="21"/>
              </w:rPr>
              <w:t>按照枯水期不少于3个流量、平水期不少于2个流量的标准，加大河道生态用水补给力度，加快水系连通，增强水体自净能力。</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市水利局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05"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40</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仿宋_GB2312"/>
                <w:spacing w:val="0"/>
                <w:sz w:val="21"/>
                <w:szCs w:val="21"/>
              </w:rPr>
            </w:pPr>
            <w:r>
              <w:rPr>
                <w:rFonts w:hint="eastAsia" w:cs="仿宋_GB2312"/>
                <w:spacing w:val="0"/>
                <w:sz w:val="21"/>
                <w:szCs w:val="21"/>
              </w:rPr>
              <w:t>在城市主要河流及其支流科学布设断面监控点位，对河流水质进行监控，一旦发现异常，立即启动追查机制，从源头上降低水污染环境风险。</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宋体" w:cs="宋体"/>
                <w:spacing w:val="0"/>
                <w:sz w:val="21"/>
                <w:szCs w:val="21"/>
              </w:rPr>
            </w:pPr>
            <w:r>
              <w:rPr>
                <w:rFonts w:hint="eastAsia" w:cs="仿宋_GB2312"/>
                <w:spacing w:val="0"/>
                <w:sz w:val="21"/>
                <w:szCs w:val="21"/>
              </w:rPr>
              <w:t>（三）</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cs="仿宋_GB2312"/>
                <w:spacing w:val="0"/>
                <w:sz w:val="21"/>
                <w:szCs w:val="21"/>
              </w:rPr>
            </w:pPr>
            <w:r>
              <w:rPr>
                <w:rFonts w:hint="eastAsia" w:cs="仿宋_GB2312"/>
                <w:spacing w:val="0"/>
                <w:sz w:val="21"/>
                <w:szCs w:val="21"/>
              </w:rPr>
              <w:t>土壤污染防治工程</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3"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41</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仿宋_GB2312"/>
                <w:spacing w:val="0"/>
                <w:sz w:val="21"/>
                <w:szCs w:val="21"/>
              </w:rPr>
            </w:pPr>
            <w:r>
              <w:rPr>
                <w:rFonts w:hint="eastAsia" w:cs="仿宋_GB2312"/>
                <w:spacing w:val="0"/>
                <w:sz w:val="21"/>
                <w:szCs w:val="21"/>
              </w:rPr>
              <w:t>督促所有涉重金属企业提升环境管理水平，严格控制无组织排放，进一步削减重金属污染物排放量。</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所有涉重金属企业</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06"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42</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仿宋_GB2312"/>
                <w:spacing w:val="0"/>
                <w:sz w:val="21"/>
                <w:szCs w:val="21"/>
              </w:rPr>
            </w:pPr>
            <w:r>
              <w:rPr>
                <w:rFonts w:hint="eastAsia" w:cs="仿宋_GB2312"/>
                <w:spacing w:val="0"/>
                <w:sz w:val="21"/>
                <w:szCs w:val="21"/>
              </w:rPr>
              <w:t>充分利用国家环保治理专项资金，采取植物修复、原位稳定化、异位稳定化及其它修复技术，切实抓好我市土壤重金属污染农田修复试点项目建设。</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43</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spacing w:val="0"/>
                <w:kern w:val="0"/>
                <w:sz w:val="22"/>
                <w:szCs w:val="22"/>
                <w:lang w:bidi="ar"/>
              </w:rPr>
            </w:pPr>
            <w:r>
              <w:rPr>
                <w:rFonts w:hint="eastAsia" w:cs="仿宋_GB2312"/>
                <w:spacing w:val="0"/>
                <w:sz w:val="21"/>
                <w:szCs w:val="21"/>
              </w:rPr>
              <w:t>加大结构调整力度，完善重金属污染土地退出机制，切实保障粮食安全和群众健康。</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市国土资源局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4"/>
                <w:sz w:val="21"/>
                <w:szCs w:val="21"/>
              </w:rPr>
            </w:pPr>
            <w:r>
              <w:rPr>
                <w:rFonts w:hint="eastAsia" w:cs="仿宋_GB2312"/>
                <w:spacing w:val="-4"/>
                <w:sz w:val="21"/>
                <w:szCs w:val="21"/>
              </w:rPr>
              <w:t>各有关产业集聚（开发）区管委会和镇人民政府、街道办事处</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2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44</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仿宋_GB2312"/>
                <w:spacing w:val="0"/>
                <w:sz w:val="21"/>
                <w:szCs w:val="21"/>
              </w:rPr>
            </w:pPr>
            <w:r>
              <w:rPr>
                <w:rFonts w:hint="eastAsia" w:cs="仿宋_GB2312"/>
                <w:spacing w:val="0"/>
                <w:sz w:val="21"/>
                <w:szCs w:val="21"/>
              </w:rPr>
              <w:t>抓好农业面源污染防治，推行测土配方施肥，减少农药和化肥施用量，改善土壤环境。</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市农牧局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hint="eastAsia" w:ascii="黑体" w:eastAsia="黑体" w:cs="宋体"/>
                <w:spacing w:val="0"/>
                <w:sz w:val="21"/>
                <w:szCs w:val="21"/>
              </w:rPr>
            </w:pPr>
            <w:r>
              <w:rPr>
                <w:rFonts w:hint="eastAsia" w:ascii="黑体" w:eastAsia="黑体" w:cs="宋体"/>
                <w:spacing w:val="0"/>
                <w:sz w:val="21"/>
                <w:szCs w:val="21"/>
              </w:rPr>
              <w:t>三</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eastAsia="黑体" w:cs="黑体"/>
                <w:spacing w:val="0"/>
                <w:sz w:val="21"/>
                <w:szCs w:val="21"/>
              </w:rPr>
              <w:t>强化八项工作</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cs="仿宋_GB2312"/>
                <w:spacing w:val="0"/>
                <w:sz w:val="21"/>
                <w:szCs w:val="21"/>
              </w:rPr>
              <w:t>（一）</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eastAsia="黑体" w:cs="黑体"/>
                <w:spacing w:val="0"/>
                <w:sz w:val="21"/>
                <w:szCs w:val="21"/>
              </w:rPr>
            </w:pPr>
            <w:r>
              <w:rPr>
                <w:rFonts w:hint="eastAsia" w:cs="仿宋_GB2312"/>
                <w:spacing w:val="0"/>
                <w:sz w:val="21"/>
                <w:szCs w:val="21"/>
              </w:rPr>
              <w:t>强化环境监测研判</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176"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45</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仿宋_GB2312"/>
                <w:spacing w:val="0"/>
                <w:sz w:val="21"/>
                <w:szCs w:val="21"/>
              </w:rPr>
            </w:pPr>
            <w:r>
              <w:rPr>
                <w:rFonts w:hint="eastAsia" w:cs="仿宋_GB2312"/>
                <w:spacing w:val="0"/>
                <w:sz w:val="21"/>
                <w:szCs w:val="21"/>
              </w:rPr>
              <w:t>一是开展大气灰霾研究。借鉴河南省大气灰霾课题组对我市大气灰霾初步研究结果，开展大气灰霾污染现状评估，解析大气灰霾源成因，提出我市大气灰霾的防治对策。二是加强环境质量研判。构建功能较为完备的环境监测网络，定期对监测数据进行分析和研判，为环境管理决策提供科学依据。三是适时发布环境质量。对群众关心的大气、水和土壤环境质量适时发布，保障群众的知情权、监督权和参与权。</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cs="仿宋_GB2312"/>
                <w:spacing w:val="0"/>
                <w:sz w:val="21"/>
                <w:szCs w:val="21"/>
              </w:rPr>
              <w:t>（二）</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强化环境监管执法</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76"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46</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仿宋_GB2312"/>
                <w:spacing w:val="0"/>
                <w:sz w:val="21"/>
                <w:szCs w:val="21"/>
              </w:rPr>
            </w:pPr>
            <w:r>
              <w:rPr>
                <w:rFonts w:hint="eastAsia" w:cs="仿宋_GB2312"/>
                <w:spacing w:val="0"/>
                <w:sz w:val="21"/>
                <w:szCs w:val="21"/>
              </w:rPr>
              <w:t>一是完善监管网格化体系建设。按行政区域重新划分环境监管网格，逐一明确监管责任人，确定重点监管对象，划分监管等级，健全监管档案，建立“定责、履责、问责”的网格责任体系，形成纵到底、横到边、全覆盖的环境执法监管新格局。二是严厉查处环境违法行为。对照环保新法新规新标，强化按日计罚、查封扣押、行政拘留等强制手段，确保环境违法行为查处和纠正到位。三是整治环评违法违规项目。落实“四个一律”措施，对违反建设项目环境影响评价和环保“三同时”制度的项目，一律不得开工；对未批先建、边批边建，资源开发以采代探的项目，一律停止建设或依法依规予以取缔；对环保设施和措施落实不到位擅自投产或运行的项目，一律责令停产整改；对自然保护区、饮用水源地保护区等特殊敏感区域内的违法违规建设项目，一律依法查处。同时推进排污单位信息公开。</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cs="仿宋_GB2312"/>
                <w:spacing w:val="0"/>
                <w:sz w:val="21"/>
                <w:szCs w:val="21"/>
              </w:rPr>
              <w:t>（三）</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强化项目环境管理</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25"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47</w:t>
            </w:r>
          </w:p>
        </w:tc>
        <w:tc>
          <w:tcPr>
            <w:tcW w:w="5809" w:type="dxa"/>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40" w:lineRule="exact"/>
              <w:jc w:val="both"/>
              <w:rPr>
                <w:rFonts w:cs="仿宋_GB2312"/>
                <w:color w:val="auto"/>
                <w:spacing w:val="0"/>
                <w:sz w:val="21"/>
                <w:szCs w:val="21"/>
              </w:rPr>
            </w:pPr>
            <w:r>
              <w:rPr>
                <w:rFonts w:hint="eastAsia" w:cs="仿宋_GB2312"/>
                <w:color w:val="auto"/>
                <w:spacing w:val="0"/>
                <w:kern w:val="2"/>
                <w:sz w:val="21"/>
                <w:szCs w:val="21"/>
              </w:rPr>
              <w:t>一是实行项目差别化准入。对工业准入优先区、环境容量相对宽裕的区域，放宽审批条件，在项目环境准入上予以倾斜，引导项目集聚发展，实现环境容量高效利用；对城市人居功能区、重点生态功能区、特殊环境敏感区等限制开发区域，实行严格的项目环境准入政策，坚持重污染项目“只出不进”，严格控制污染物新增量。二是优化项目环评审批。对列入《建设项目环境影响评价豁免管理名录》的建设项目，免于环评审批手续办理；对环评备案管理的项目，不再进行竣工环境保护验收，直接纳入日常监管范围；推行项目环评模拟审批和温馨提示，确保项目审批“提速、提质、提效”。三是推进五规合一工作开展。推广产业集聚区五规合一工作，督促3个省级产业集聚区在巩固总体发展规划与土地利用总体规划、城市总体规划三规合一成果的基础上，进一步加强与生态环境保护规划、区域公共服务基础设施规划的对接，实现各项规划的无缝衔接、精准套合。</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4"/>
                <w:sz w:val="21"/>
                <w:szCs w:val="21"/>
              </w:rPr>
            </w:pPr>
            <w:r>
              <w:rPr>
                <w:rFonts w:hint="eastAsia" w:cs="仿宋_GB2312"/>
                <w:spacing w:val="-4"/>
                <w:sz w:val="21"/>
                <w:szCs w:val="21"/>
              </w:rPr>
              <w:t>各产业集聚（开发）区管委会和各镇人民政府、各街道办事处</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cs="仿宋_GB2312"/>
                <w:spacing w:val="0"/>
                <w:sz w:val="21"/>
                <w:szCs w:val="21"/>
              </w:rPr>
            </w:pPr>
            <w:r>
              <w:rPr>
                <w:rFonts w:hint="eastAsia" w:cs="仿宋_GB2312"/>
                <w:spacing w:val="0"/>
                <w:sz w:val="21"/>
                <w:szCs w:val="21"/>
              </w:rPr>
              <w:t>（四）</w:t>
            </w:r>
          </w:p>
        </w:tc>
        <w:tc>
          <w:tcPr>
            <w:tcW w:w="5809" w:type="dxa"/>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40" w:lineRule="exact"/>
              <w:rPr>
                <w:rFonts w:cs="仿宋_GB2312"/>
                <w:color w:val="auto"/>
                <w:spacing w:val="0"/>
                <w:kern w:val="2"/>
                <w:sz w:val="21"/>
                <w:szCs w:val="21"/>
              </w:rPr>
            </w:pPr>
            <w:r>
              <w:rPr>
                <w:rFonts w:hint="eastAsia" w:cs="仿宋_GB2312"/>
                <w:color w:val="auto"/>
                <w:spacing w:val="0"/>
                <w:kern w:val="2"/>
                <w:sz w:val="21"/>
                <w:szCs w:val="21"/>
              </w:rPr>
              <w:t>强化农村环境整治</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6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48</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严格落实城乡生活垃圾“户分类、村收集、镇（街道）运输、市处理”的工作机制，确保生活垃圾得到有效处理。</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市住房和城乡建设局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4"/>
                <w:sz w:val="21"/>
                <w:szCs w:val="21"/>
              </w:rPr>
            </w:pPr>
            <w:r>
              <w:rPr>
                <w:rFonts w:hint="eastAsia" w:cs="仿宋_GB2312"/>
                <w:spacing w:val="-4"/>
                <w:sz w:val="21"/>
                <w:szCs w:val="21"/>
              </w:rPr>
              <w:t>各产业集聚（开发）区管委会和各镇人民政府、各街道办事处</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6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49</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在全市选择生活污水不能进入管网的1至2个行政村作为示范，建设小型污水处理设施，保障正常运行。</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市住房和城乡建设局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4"/>
                <w:sz w:val="21"/>
                <w:szCs w:val="21"/>
              </w:rPr>
            </w:pPr>
            <w:r>
              <w:rPr>
                <w:rFonts w:hint="eastAsia" w:cs="仿宋_GB2312"/>
                <w:spacing w:val="-4"/>
                <w:sz w:val="21"/>
                <w:szCs w:val="21"/>
              </w:rPr>
              <w:t>各产业集聚（开发）区管委会和各镇人民政府、各街道办事处</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5"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50</w:t>
            </w:r>
          </w:p>
        </w:tc>
        <w:tc>
          <w:tcPr>
            <w:tcW w:w="5809" w:type="dxa"/>
            <w:tcBorders>
              <w:top w:val="single" w:color="auto" w:sz="4" w:space="0"/>
              <w:left w:val="single" w:color="auto" w:sz="4" w:space="0"/>
              <w:bottom w:val="single" w:color="auto" w:sz="4" w:space="0"/>
              <w:right w:val="single" w:color="auto" w:sz="4" w:space="0"/>
            </w:tcBorders>
            <w:vAlign w:val="center"/>
          </w:tcPr>
          <w:p>
            <w:pPr>
              <w:spacing w:line="280" w:lineRule="exact"/>
              <w:rPr>
                <w:rFonts w:cs="仿宋_GB2312"/>
                <w:spacing w:val="0"/>
                <w:sz w:val="21"/>
                <w:szCs w:val="21"/>
              </w:rPr>
            </w:pPr>
            <w:r>
              <w:rPr>
                <w:rFonts w:hint="eastAsia" w:cs="仿宋_GB2312"/>
                <w:spacing w:val="0"/>
                <w:sz w:val="21"/>
                <w:szCs w:val="21"/>
              </w:rPr>
              <w:t>对具备收水条件的梨林镇，加快镇区污水支管网建设，确保生活污水全部进入排污主管网。</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市住房和城乡建设局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梨林镇人民政府</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51</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建成投用承留镇滨湖花园和克井镇北辰社区的污水处理工程。</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承留镇和克井镇人民政府</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53"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52</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坚持堵疏结合，创新管理机制，抓好秸秆禁烧与综合利用。</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市农牧局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280" w:lineRule="exact"/>
              <w:rPr>
                <w:rFonts w:cs="仿宋_GB2312"/>
                <w:spacing w:val="0"/>
                <w:sz w:val="21"/>
                <w:szCs w:val="21"/>
              </w:rPr>
            </w:pPr>
            <w:r>
              <w:rPr>
                <w:rFonts w:hint="eastAsia" w:cs="仿宋_GB2312"/>
                <w:spacing w:val="0"/>
                <w:sz w:val="21"/>
                <w:szCs w:val="21"/>
              </w:rPr>
              <w:t>各产业集聚（开发）区管委会和各镇人民政府、各有关街道办事处</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53</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整治农村人居环境，严禁焚烧垃圾树叶等杂物。</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市住房和城乡建设局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280" w:lineRule="exact"/>
              <w:rPr>
                <w:rFonts w:cs="仿宋_GB2312"/>
                <w:spacing w:val="0"/>
                <w:sz w:val="21"/>
                <w:szCs w:val="21"/>
              </w:rPr>
            </w:pPr>
            <w:r>
              <w:rPr>
                <w:rFonts w:hint="eastAsia" w:cs="仿宋_GB2312"/>
                <w:spacing w:val="0"/>
                <w:sz w:val="21"/>
                <w:szCs w:val="21"/>
              </w:rPr>
              <w:t>各产业集聚（开发）区管委会和各镇人民政府、各有关街道办事处</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54</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eastAsia="黑体" w:cs="黑体"/>
                <w:spacing w:val="0"/>
                <w:sz w:val="21"/>
                <w:szCs w:val="21"/>
              </w:rPr>
            </w:pPr>
            <w:r>
              <w:rPr>
                <w:rFonts w:hint="eastAsia" w:cs="仿宋_GB2312"/>
                <w:spacing w:val="0"/>
                <w:sz w:val="21"/>
                <w:szCs w:val="21"/>
              </w:rPr>
              <w:t>落实“以奖促治”、“以奖代补”等措施，推进农村环境综合整治。</w:t>
            </w:r>
          </w:p>
        </w:tc>
        <w:tc>
          <w:tcPr>
            <w:tcW w:w="212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仿宋_GB2312"/>
                <w:spacing w:val="0"/>
                <w:sz w:val="21"/>
                <w:szCs w:val="21"/>
              </w:rPr>
            </w:pPr>
            <w:r>
              <w:rPr>
                <w:rFonts w:hint="eastAsia" w:cs="仿宋_GB2312"/>
                <w:spacing w:val="0"/>
                <w:sz w:val="21"/>
                <w:szCs w:val="21"/>
              </w:rPr>
              <w:t>市住房和城乡建设局</w:t>
            </w:r>
          </w:p>
          <w:p>
            <w:pPr>
              <w:spacing w:line="280" w:lineRule="exact"/>
              <w:jc w:val="center"/>
              <w:rPr>
                <w:rFonts w:hint="eastAsia" w:cs="仿宋_GB2312"/>
                <w:spacing w:val="0"/>
                <w:sz w:val="21"/>
                <w:szCs w:val="21"/>
              </w:rPr>
            </w:pPr>
            <w:r>
              <w:rPr>
                <w:rFonts w:hint="eastAsia" w:cs="仿宋_GB2312"/>
                <w:spacing w:val="0"/>
                <w:sz w:val="21"/>
                <w:szCs w:val="21"/>
              </w:rPr>
              <w:t>市农牧局</w:t>
            </w:r>
          </w:p>
          <w:p>
            <w:pPr>
              <w:spacing w:line="28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280" w:lineRule="exact"/>
              <w:rPr>
                <w:rFonts w:cs="仿宋_GB2312"/>
                <w:spacing w:val="0"/>
                <w:sz w:val="21"/>
                <w:szCs w:val="21"/>
              </w:rPr>
            </w:pPr>
            <w:r>
              <w:rPr>
                <w:rFonts w:hint="eastAsia" w:cs="仿宋_GB2312"/>
                <w:spacing w:val="0"/>
                <w:sz w:val="21"/>
                <w:szCs w:val="21"/>
              </w:rPr>
              <w:t>各产业集聚（开发）区管委会和各镇人民政府、各有关街道办事处</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8"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55</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抓好农村生态村创建和饮用水源地保护，防止污染向农村转移，提升农村环境保护水平。</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宋体" w:cs="宋体"/>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280" w:lineRule="exact"/>
              <w:rPr>
                <w:rFonts w:cs="仿宋_GB2312"/>
                <w:spacing w:val="0"/>
                <w:sz w:val="21"/>
                <w:szCs w:val="21"/>
              </w:rPr>
            </w:pPr>
            <w:r>
              <w:rPr>
                <w:rFonts w:hint="eastAsia" w:cs="仿宋_GB2312"/>
                <w:spacing w:val="0"/>
                <w:sz w:val="21"/>
                <w:szCs w:val="21"/>
              </w:rPr>
              <w:t>各产业集聚（开发）区管委会和各镇人民政府、各有关街道办事处</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cs="仿宋_GB2312"/>
                <w:spacing w:val="0"/>
                <w:sz w:val="21"/>
                <w:szCs w:val="21"/>
              </w:rPr>
              <w:t>（五）</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强化固体废物防治</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56</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加强危险废物转移处置和规范化管理，重点开展重金属危险废物和废矿物油、废煤焦油的规范化管理及收储处置，严格落实“五联单”制度，按规定转移危险废物。二是大宗固体废物管理。对工业企业生产过程中产生的粉煤灰、电石渣、脱硫石膏、冶炼废渣等大宗固体废物，积极推行各种开发利用政策，产废、利用企业必须按要求建设达到环保标准的堆放场所。三是各类污泥整治。对各类生活和工业污水处理过程中产生的污泥，严格按照分类标准确定污泥属性，分类处置或利用，严禁随意堆放、倾倒造成环境污染。</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各有关企业</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57</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仿宋_GB2312"/>
                <w:spacing w:val="0"/>
                <w:sz w:val="21"/>
                <w:szCs w:val="21"/>
              </w:rPr>
            </w:pPr>
            <w:r>
              <w:rPr>
                <w:rFonts w:hint="eastAsia" w:cs="仿宋_GB2312"/>
                <w:spacing w:val="0"/>
                <w:sz w:val="21"/>
                <w:szCs w:val="21"/>
              </w:rPr>
              <w:t>建设医疗废物处置复线项目，安全处置各类医疗废物。</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市住房和城乡建设局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cs="仿宋_GB2312"/>
                <w:spacing w:val="0"/>
                <w:sz w:val="21"/>
                <w:szCs w:val="21"/>
              </w:rPr>
              <w:t>（六）</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仿宋_GB2312"/>
                <w:spacing w:val="0"/>
                <w:sz w:val="21"/>
                <w:szCs w:val="21"/>
              </w:rPr>
            </w:pPr>
            <w:r>
              <w:rPr>
                <w:rFonts w:hint="eastAsia" w:cs="仿宋_GB2312"/>
                <w:spacing w:val="0"/>
                <w:sz w:val="21"/>
                <w:szCs w:val="21"/>
              </w:rPr>
              <w:t>强化环保规划编制</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791"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58</w:t>
            </w:r>
          </w:p>
        </w:tc>
        <w:tc>
          <w:tcPr>
            <w:tcW w:w="5809" w:type="dxa"/>
            <w:tcBorders>
              <w:top w:val="single" w:color="auto" w:sz="4" w:space="0"/>
              <w:left w:val="single" w:color="auto" w:sz="4" w:space="0"/>
              <w:bottom w:val="single" w:color="auto" w:sz="4" w:space="0"/>
              <w:right w:val="single" w:color="auto" w:sz="4" w:space="0"/>
            </w:tcBorders>
            <w:vAlign w:val="center"/>
          </w:tcPr>
          <w:p>
            <w:pPr>
              <w:spacing w:line="280" w:lineRule="exact"/>
              <w:rPr>
                <w:rFonts w:cs="仿宋_GB2312"/>
                <w:spacing w:val="0"/>
                <w:sz w:val="21"/>
                <w:szCs w:val="21"/>
              </w:rPr>
            </w:pPr>
            <w:r>
              <w:rPr>
                <w:rFonts w:hint="eastAsia" w:cs="仿宋_GB2312"/>
                <w:spacing w:val="0"/>
                <w:sz w:val="21"/>
                <w:szCs w:val="21"/>
              </w:rPr>
              <w:t>一是抓好规划衔接。将环境保护纳入我市国民经济和社会发展规划，科学编制“十三五”环保专项规划，其他部门的相关规划要与环保规划相衔接，提高规划编制的科学性和执行力。二是明确规划任务。分解落实规划指标任务，实现水、大气、土壤等环境要素全覆盖，确保主体明确，保障有力。三是谋划重大项目。围绕规划重点领域和监管重点，谋划一批带动性强、能解决突出环境问题的重大工程项目，并加强重大工程项目的评估筛选，建立项目清单库，确保按计划实施。</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6月30日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cs="仿宋_GB2312"/>
                <w:spacing w:val="0"/>
                <w:sz w:val="21"/>
                <w:szCs w:val="21"/>
              </w:rPr>
              <w:t>（七）</w:t>
            </w:r>
          </w:p>
        </w:tc>
        <w:tc>
          <w:tcPr>
            <w:tcW w:w="5809" w:type="dxa"/>
            <w:tcBorders>
              <w:top w:val="single" w:color="auto" w:sz="4" w:space="0"/>
              <w:left w:val="single" w:color="auto" w:sz="4" w:space="0"/>
              <w:bottom w:val="single" w:color="auto" w:sz="4" w:space="0"/>
              <w:right w:val="single" w:color="auto" w:sz="4" w:space="0"/>
            </w:tcBorders>
            <w:vAlign w:val="center"/>
          </w:tcPr>
          <w:p>
            <w:pPr>
              <w:spacing w:line="280" w:lineRule="exact"/>
              <w:rPr>
                <w:rFonts w:cs="仿宋_GB2312"/>
                <w:spacing w:val="0"/>
                <w:sz w:val="21"/>
                <w:szCs w:val="21"/>
              </w:rPr>
            </w:pPr>
            <w:r>
              <w:rPr>
                <w:rFonts w:hint="eastAsia" w:cs="仿宋_GB2312"/>
                <w:spacing w:val="0"/>
                <w:sz w:val="21"/>
                <w:szCs w:val="21"/>
              </w:rPr>
              <w:t>强化环境应急应对</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503"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59</w:t>
            </w:r>
          </w:p>
        </w:tc>
        <w:tc>
          <w:tcPr>
            <w:tcW w:w="5809" w:type="dxa"/>
            <w:tcBorders>
              <w:top w:val="single" w:color="auto" w:sz="4" w:space="0"/>
              <w:left w:val="single" w:color="auto" w:sz="4" w:space="0"/>
              <w:bottom w:val="single" w:color="auto" w:sz="4" w:space="0"/>
              <w:right w:val="single" w:color="auto" w:sz="4" w:space="0"/>
            </w:tcBorders>
            <w:vAlign w:val="center"/>
          </w:tcPr>
          <w:p>
            <w:pPr>
              <w:spacing w:line="280" w:lineRule="exact"/>
              <w:rPr>
                <w:rFonts w:cs="仿宋_GB2312"/>
                <w:spacing w:val="0"/>
                <w:sz w:val="21"/>
                <w:szCs w:val="21"/>
              </w:rPr>
            </w:pPr>
            <w:r>
              <w:rPr>
                <w:rFonts w:hint="eastAsia" w:cs="仿宋_GB2312"/>
                <w:spacing w:val="0"/>
                <w:sz w:val="21"/>
                <w:szCs w:val="21"/>
              </w:rPr>
              <w:t>一是预案管理。强化风险评估、预案管理等工作，做好各类环境应急预案的编制和修订，提高预案的可操作性。建立健全大气污染源清单和百家废气重点工业企业重污染天气应急减排预案，如遇重污染天气，严格落实预案确定的强制性减排措施。二是应急保障。进一步完善市级环境应急专家库，定期邀请省内外专家参与隐患排查、风险评估、应急处置、污染损害评估等工作，健全完善应急救援队伍和物资信息库。三是应急演练。加强部门沟通联系，建立重污染天气研判预报与企业停限产之间的联动管理机制，适时开展综合性应急演练，加强应急值守和信息报告等工作，确保一旦发生突发环境事件，能够迅速出动、妥善处置，保障环境安全。</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各有关部门和企业</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cs="仿宋_GB2312"/>
                <w:spacing w:val="0"/>
                <w:sz w:val="21"/>
                <w:szCs w:val="21"/>
              </w:rPr>
              <w:t>（八）</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仿宋_GB2312"/>
                <w:spacing w:val="0"/>
                <w:sz w:val="21"/>
                <w:szCs w:val="21"/>
              </w:rPr>
            </w:pPr>
            <w:r>
              <w:rPr>
                <w:rFonts w:hint="eastAsia" w:cs="仿宋_GB2312"/>
                <w:spacing w:val="0"/>
                <w:sz w:val="21"/>
                <w:szCs w:val="21"/>
              </w:rPr>
              <w:t>强化环保能力建设</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205"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eastAsia="宋体" w:cs="宋体"/>
                <w:spacing w:val="0"/>
                <w:sz w:val="21"/>
                <w:szCs w:val="21"/>
              </w:rPr>
            </w:pPr>
            <w:r>
              <w:rPr>
                <w:rFonts w:hint="eastAsia" w:eastAsia="宋体" w:cs="宋体"/>
                <w:spacing w:val="0"/>
                <w:sz w:val="21"/>
                <w:szCs w:val="21"/>
              </w:rPr>
              <w:t>60</w:t>
            </w:r>
          </w:p>
        </w:tc>
        <w:tc>
          <w:tcPr>
            <w:tcW w:w="5809"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仿宋_GB2312"/>
                <w:spacing w:val="0"/>
                <w:sz w:val="21"/>
                <w:szCs w:val="21"/>
              </w:rPr>
            </w:pPr>
            <w:r>
              <w:rPr>
                <w:rFonts w:hint="eastAsia" w:cs="仿宋_GB2312"/>
                <w:spacing w:val="0"/>
                <w:sz w:val="21"/>
                <w:szCs w:val="21"/>
              </w:rPr>
              <w:t>一是提高装备支撑能力。推进监测、监察、固废、监控、辐射、宣教、环境应急、机动车监管等环境保护能力标准化建设，适应新形势下的环境保护工作需要。二是提升人才支撑能力。多渠道、多途径引进、培养、选拔各类环境管理人才、专业技术人才和高技能人才，进一步提高环保队伍素质。三是增强科技支撑能力。组织开展环保科研课题和实用技术研究，增强科研能力，为解决突出环境问题提供技术支撑。</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市环境保护局</w:t>
            </w:r>
          </w:p>
        </w:tc>
        <w:tc>
          <w:tcPr>
            <w:tcW w:w="31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r>
              <w:rPr>
                <w:rFonts w:hint="eastAsia" w:cs="仿宋_GB2312"/>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仿宋_GB2312"/>
                <w:spacing w:val="0"/>
                <w:sz w:val="21"/>
                <w:szCs w:val="21"/>
              </w:rPr>
            </w:pPr>
          </w:p>
        </w:tc>
      </w:tr>
    </w:tbl>
    <w:p>
      <w:pPr>
        <w:spacing w:line="240" w:lineRule="exact"/>
        <w:ind w:firstLine="624" w:firstLineChars="200"/>
        <w:rPr>
          <w:rFonts w:hint="eastAsia" w:cs="宋体"/>
        </w:rPr>
      </w:pPr>
    </w:p>
    <w:p>
      <w:pPr>
        <w:spacing w:line="620" w:lineRule="exact"/>
        <w:ind w:firstLine="624" w:firstLineChars="200"/>
        <w:rPr>
          <w:rFonts w:cs="宋体"/>
        </w:rPr>
        <w:sectPr>
          <w:headerReference r:id="rId3" w:type="default"/>
          <w:footerReference r:id="rId5" w:type="default"/>
          <w:headerReference r:id="rId4" w:type="even"/>
          <w:footerReference r:id="rId6" w:type="even"/>
          <w:pgSz w:w="16838" w:h="11906" w:orient="landscape"/>
          <w:pgMar w:top="1644" w:right="1474" w:bottom="1531" w:left="1758" w:header="851" w:footer="1474" w:gutter="0"/>
          <w:cols w:space="720" w:num="1"/>
          <w:docGrid w:linePitch="590" w:charSpace="0"/>
        </w:sectPr>
      </w:pPr>
    </w:p>
    <w:p>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Arial">
    <w:panose1 w:val="020B0604020202020204"/>
    <w:charset w:val="00"/>
    <w:family w:val="decorative"/>
    <w:pitch w:val="default"/>
    <w:sig w:usb0="E0002EFF" w:usb1="C0007843" w:usb2="00000009" w:usb3="00000000" w:csb0="400001FF" w:csb1="FFFF0000"/>
  </w:font>
  <w:font w:name="ˎ̥">
    <w:altName w:val="Times New Roman"/>
    <w:panose1 w:val="00000000000000000000"/>
    <w:charset w:val="01"/>
    <w:family w:val="moder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swiss"/>
    <w:pitch w:val="default"/>
    <w:sig w:usb0="00000000" w:usb1="00000000" w:usb2="00000010" w:usb3="00000000" w:csb0="00040000" w:csb1="00000000"/>
  </w:font>
  <w:font w:name="新宋体">
    <w:panose1 w:val="02010609030101010101"/>
    <w:charset w:val="86"/>
    <w:family w:val="swiss"/>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464" w:h="1291" w:hRule="exact" w:wrap="around" w:vAnchor="text" w:hAnchor="page" w:x="1171" w:y="-1468"/>
      <w:jc w:val="center"/>
      <w:rPr>
        <w:rStyle w:val="7"/>
        <w:rFonts w:hint="eastAsia"/>
        <w:sz w:val="28"/>
        <w:szCs w:val="28"/>
      </w:rPr>
    </w:pPr>
    <w:r>
      <w:rPr>
        <w:rStyle w:val="7"/>
        <w:rFonts w:hint="eastAsia"/>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lang w:val="zh-CN" w:eastAsia="zh-CN"/>
      </w:rPr>
      <w:t>23</w:t>
    </w:r>
    <w:r>
      <w:rPr>
        <w:rStyle w:val="7"/>
        <w:sz w:val="28"/>
        <w:szCs w:val="28"/>
      </w:rPr>
      <w:fldChar w:fldCharType="end"/>
    </w:r>
    <w:r>
      <w:rPr>
        <w:rStyle w:val="7"/>
        <w:rFonts w:hint="eastAsia"/>
        <w:sz w:val="28"/>
        <w:szCs w:val="28"/>
      </w:rPr>
      <w:t xml:space="preserve"> —</w:t>
    </w:r>
  </w:p>
  <w:p>
    <w:pPr>
      <w:pStyle w:val="2"/>
      <w:ind w:right="360" w:firstLine="360"/>
      <w:rPr>
        <w:rFonts w:hint="eastAsia"/>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500" w:h="1325" w:hRule="exact" w:wrap="around" w:vAnchor="text" w:hAnchor="page" w:x="1111" w:y="935"/>
      <w:rPr>
        <w:rStyle w:val="7"/>
        <w:rFonts w:hint="eastAsia"/>
        <w:sz w:val="28"/>
        <w:szCs w:val="28"/>
      </w:rPr>
    </w:pPr>
    <w:r>
      <w:rPr>
        <w:rStyle w:val="7"/>
        <w:rFonts w:hint="eastAsia"/>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lang w:val="zh-CN" w:eastAsia="zh-CN"/>
      </w:rPr>
      <w:t>24</w:t>
    </w:r>
    <w:r>
      <w:rPr>
        <w:rStyle w:val="7"/>
        <w:sz w:val="28"/>
        <w:szCs w:val="28"/>
      </w:rPr>
      <w:fldChar w:fldCharType="end"/>
    </w:r>
    <w:r>
      <w:rPr>
        <w:rStyle w:val="7"/>
        <w:rFonts w:hint="eastAsia"/>
        <w:sz w:val="28"/>
        <w:szCs w:val="28"/>
      </w:rPr>
      <w:t xml:space="preserve"> —</w:t>
    </w:r>
  </w:p>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445353"/>
    <w:rsid w:val="5244535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spacing w:val="6"/>
      <w:kern w:val="2"/>
      <w:sz w:val="30"/>
      <w:szCs w:val="30"/>
      <w:lang w:val="en-US" w:eastAsia="zh-CN" w:bidi="ar-SA"/>
    </w:rPr>
  </w:style>
  <w:style w:type="character" w:default="1" w:styleId="5">
    <w:name w:val="Default Paragraph Font"/>
    <w:link w:val="6"/>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6">
    <w:name w:val=" Char Char Char"/>
    <w:basedOn w:val="1"/>
    <w:link w:val="5"/>
    <w:uiPriority w:val="0"/>
  </w:style>
  <w:style w:type="character" w:styleId="7">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2016-01-21T05:13:00Z</dcterms:created>
  <dc:creator>Administrator</dc:creator>
  <cp:lastModifiedBy>Administrator</cp:lastModifiedBy>
  <dcterms:modified xsi:type="dcterms:W3CDTF">2016-01-21T05:14:47Z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