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 w:val="0"/>
        <w:wordWrap/>
        <w:adjustRightInd/>
        <w:snapToGrid/>
        <w:spacing w:after="0" w:line="590" w:lineRule="exact"/>
        <w:jc w:val="both"/>
        <w:textAlignment w:val="auto"/>
        <w:rPr>
          <w:rFonts w:hint="default" w:ascii="宋体" w:hAnsi="宋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pStyle w:val="9"/>
        <w:widowControl w:val="0"/>
        <w:wordWrap/>
        <w:snapToGrid/>
        <w:spacing w:line="590" w:lineRule="exact"/>
        <w:jc w:val="center"/>
        <w:textAlignment w:val="auto"/>
        <w:rPr>
          <w:rFonts w:hint="eastAsia" w:ascii="宋体" w:hAnsi="宋体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t>开发区重大事项清单（2025—2027年）</w:t>
      </w:r>
      <w:bookmarkEnd w:id="0"/>
    </w:p>
    <w:tbl>
      <w:tblPr>
        <w:tblW w:w="13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2340"/>
        <w:gridCol w:w="7215"/>
        <w:gridCol w:w="1149"/>
        <w:gridCol w:w="2255"/>
      </w:tblGrid>
      <w:tr>
        <w:trPr>
          <w:trHeight w:val="567" w:hRule="atLeast"/>
          <w:tblHeader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黑体" w:cs="黑体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黑体" w:cs="黑体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sz w:val="21"/>
                <w:szCs w:val="21"/>
                <w:highlight w:val="none"/>
                <w:u w:val="none"/>
              </w:rPr>
              <w:t>事项名称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黑体" w:cs="黑体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sz w:val="21"/>
                <w:szCs w:val="21"/>
                <w:highlight w:val="none"/>
                <w:u w:val="none"/>
              </w:rPr>
              <w:t>主要内容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黑体" w:cs="黑体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sz w:val="21"/>
                <w:szCs w:val="21"/>
                <w:highlight w:val="none"/>
                <w:u w:val="none"/>
              </w:rPr>
              <w:t>完成时限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黑体" w:cs="黑体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sz w:val="21"/>
                <w:szCs w:val="21"/>
                <w:highlight w:val="none"/>
                <w:u w:val="none"/>
              </w:rPr>
              <w:t>牵头部门</w:t>
            </w:r>
          </w:p>
        </w:tc>
      </w:tr>
      <w:tr>
        <w:trPr>
          <w:trHeight w:val="567" w:hRule="atLeast"/>
          <w:jc w:val="center"/>
        </w:trPr>
        <w:tc>
          <w:tcPr>
            <w:tcW w:w="13606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楷体_GB2312" w:cs="楷体_GB2312"/>
                <w:sz w:val="21"/>
                <w:szCs w:val="21"/>
                <w:highlight w:val="none"/>
                <w:u w:val="none"/>
              </w:rPr>
              <w:t>（一）加强顶层设计拓展发展空间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</w:rPr>
              <w:t>有序推进开发区扩区调区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</w:rPr>
              <w:t>推动高新区、经开区形成扩区调区方案。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2025年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发展改革和统计局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</w:rPr>
              <w:t>完成发展规划编制报批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</w:rPr>
              <w:t>推动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高新区、经开区、现代服务业开发区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</w:rPr>
              <w:t>全面完成发展规划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的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</w:rPr>
              <w:t>编制及报批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2025年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发展改革和统计局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明确开发区产业发展方向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推动各开发区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</w:rPr>
              <w:t>精准遴选发展潜力大、核心竞争力强、产业关联度高、带动效应显著的1-3个优势产业作为主导产业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，科学选定1个新兴产业实施重点培育。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2025年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发展改革和统计局</w:t>
            </w:r>
          </w:p>
        </w:tc>
      </w:tr>
      <w:tr>
        <w:trPr>
          <w:trHeight w:val="567" w:hRule="atLeast"/>
          <w:jc w:val="center"/>
        </w:trPr>
        <w:tc>
          <w:tcPr>
            <w:tcW w:w="13606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sz w:val="21"/>
                <w:szCs w:val="21"/>
                <w:highlight w:val="none"/>
                <w:u w:val="none"/>
              </w:rPr>
              <w:t>（</w:t>
            </w:r>
            <w:r>
              <w:rPr>
                <w:rFonts w:hint="eastAsia" w:ascii="宋体" w:hAnsi="宋体" w:eastAsia="楷体_GB2312" w:cs="楷体_GB2312"/>
                <w:sz w:val="21"/>
                <w:szCs w:val="21"/>
                <w:highlight w:val="none"/>
                <w:u w:val="none"/>
                <w:lang w:eastAsia="zh-CN"/>
              </w:rPr>
              <w:t>二</w:t>
            </w:r>
            <w:r>
              <w:rPr>
                <w:rFonts w:hint="eastAsia" w:ascii="宋体" w:hAnsi="宋体" w:eastAsia="楷体_GB2312" w:cs="楷体_GB2312"/>
                <w:sz w:val="21"/>
                <w:szCs w:val="21"/>
                <w:highlight w:val="none"/>
                <w:u w:val="none"/>
              </w:rPr>
              <w:t>）实施产业集群能级跃升行动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巩固主导产业优势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力争有色金属、钢铁、化工产业产值突破2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00亿元。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2027年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工业信息和科技局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培育新兴产业集群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聚焦纳米新材料、电子信息、节能环保、氢能、生物医药、低空经济、具身智能等，推动一批重点项目建设，培育具有特色竞争优势的新兴产业集群。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持续推进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发展改革和统计局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打造国家级特色产业地标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推动高新区打造先进钢铁材料、经开区打造先进有色金属材料2个具有辨识度和全国影响力的开发区产业地标。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2027年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工业信息和科技局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深化企业梯度培育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推动形成“龙头引领、骨干支撑、小微协同”的格局，累计认定“专精特新”企业115家，头雁企业2家，瞪羚企业3家。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2027年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工业信息和科技局</w:t>
            </w:r>
          </w:p>
        </w:tc>
      </w:tr>
      <w:tr>
        <w:trPr>
          <w:trHeight w:val="567" w:hRule="atLeast"/>
          <w:jc w:val="center"/>
        </w:trPr>
        <w:tc>
          <w:tcPr>
            <w:tcW w:w="13606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sz w:val="21"/>
                <w:szCs w:val="21"/>
                <w:highlight w:val="none"/>
                <w:u w:val="none"/>
              </w:rPr>
              <w:t>（</w:t>
            </w:r>
            <w:r>
              <w:rPr>
                <w:rFonts w:hint="eastAsia" w:ascii="宋体" w:hAnsi="宋体" w:eastAsia="楷体_GB2312" w:cs="楷体_GB2312"/>
                <w:sz w:val="21"/>
                <w:szCs w:val="21"/>
                <w:highlight w:val="none"/>
                <w:u w:val="none"/>
                <w:lang w:eastAsia="zh-CN"/>
              </w:rPr>
              <w:t>三</w:t>
            </w:r>
            <w:r>
              <w:rPr>
                <w:rFonts w:hint="eastAsia" w:ascii="宋体" w:hAnsi="宋体" w:eastAsia="楷体_GB2312" w:cs="楷体_GB2312"/>
                <w:sz w:val="21"/>
                <w:szCs w:val="21"/>
                <w:highlight w:val="none"/>
                <w:u w:val="none"/>
              </w:rPr>
              <w:t>）实施开发区主体赋能增效行动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建设新质生产力示范区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推动高新区切入低空经济、人工智能、生物医药等新兴产业，构建以智慧岛为核心区域的新质生产力示范区。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持续推进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发展改革和统计局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建设绿色低碳示范园区和循环经济标杆园区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推动经开区构建以再生资源循环、新型储能产业为核心的绿色低碳示范园区和循环经济标杆园区。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2027年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发展改革和统计局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打造区域物流枢纽核心地标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推动现代服务业开发区聚焦大宗物流、多式联运、快递电商物流等产业，着力提质增效，打造区域物流枢纽核心地标。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持续推进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发展改革和统计局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推动开发区运营管理创新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实施由区管国有企业与制造业开发区合作的模式，做优做强开发区运营公司主体，打造专业化运营服务团队，合力推动经开区成功创建国家级经开区，高新区成功创建国家级高新区。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2027年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发展改革和统计局</w:t>
            </w:r>
          </w:p>
        </w:tc>
      </w:tr>
      <w:tr>
        <w:trPr>
          <w:trHeight w:val="1018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开展园区循环化改造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制定园区循环化改造方案，引导企业实施设备更新改造，产业循环链接，节能降碳、能源梯级利用、资源综合利用等重点领域项目。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持续推进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发展改革和统计局</w:t>
            </w:r>
          </w:p>
        </w:tc>
      </w:tr>
      <w:tr>
        <w:trPr>
          <w:trHeight w:val="853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完善协同招商机制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构建招商共享平台，建立健全动态更新的招商目标企业清单，每个制造业开发区每年新引进落地5个以上投资额10亿元以上的制造业项目。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持续推进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商务局</w:t>
            </w:r>
          </w:p>
        </w:tc>
      </w:tr>
      <w:tr>
        <w:trPr>
          <w:trHeight w:val="567" w:hRule="atLeast"/>
          <w:jc w:val="center"/>
        </w:trPr>
        <w:tc>
          <w:tcPr>
            <w:tcW w:w="13606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sz w:val="21"/>
                <w:szCs w:val="21"/>
                <w:highlight w:val="none"/>
                <w:u w:val="none"/>
              </w:rPr>
              <w:t>（</w:t>
            </w:r>
            <w:r>
              <w:rPr>
                <w:rFonts w:hint="eastAsia" w:ascii="宋体" w:hAnsi="宋体" w:eastAsia="楷体_GB2312" w:cs="楷体_GB2312"/>
                <w:sz w:val="21"/>
                <w:szCs w:val="21"/>
                <w:highlight w:val="none"/>
                <w:u w:val="none"/>
                <w:lang w:eastAsia="zh-CN"/>
              </w:rPr>
              <w:t>四</w:t>
            </w:r>
            <w:r>
              <w:rPr>
                <w:rFonts w:hint="eastAsia" w:ascii="宋体" w:hAnsi="宋体" w:eastAsia="楷体_GB2312" w:cs="楷体_GB2312"/>
                <w:sz w:val="21"/>
                <w:szCs w:val="21"/>
                <w:highlight w:val="none"/>
                <w:u w:val="none"/>
              </w:rPr>
              <w:t>）实施创新能级提升行动</w:t>
            </w:r>
          </w:p>
        </w:tc>
      </w:tr>
      <w:tr>
        <w:trPr>
          <w:trHeight w:val="1134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构建多层次产业科技创新平台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推进开发区内制造业创新中心、工程（技术）研究中心、企业技术中心、技术创新中心等创新平台建设，有效集聚一批全国重点实验室、新型研发机构和中试基地，新增省级以上创新平台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个以上。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2027年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工业信息和科技局</w:t>
            </w:r>
          </w:p>
        </w:tc>
      </w:tr>
      <w:tr>
        <w:trPr>
          <w:trHeight w:val="1134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推进开发区数字化转型促进中心建设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统筹建设数字化基础设施、开发数字化基础产品、提供数字化转型解决方案，实现开发区规模以上工业企业智能应用场景全覆盖，其中高级智能制造场景覆盖率达到50%以上，中级场景达到70%以上。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2027年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工业信息和科技局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推动关键核心技术取得突破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推动高新区河南省特殊钢材料创新中心与北京钢铁研究总院、东北大学等高校的特殊钢棒核心技术再次取得突破；经开区以专利导航服务基地建设为契机，加强与中南大学、中国有研、中国恩菲集团等的合作，在有色金属材料领域核心技术取得突破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持续推进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工业信息和科技局</w:t>
            </w:r>
          </w:p>
        </w:tc>
      </w:tr>
      <w:tr>
        <w:trPr>
          <w:trHeight w:val="567" w:hRule="atLeast"/>
          <w:jc w:val="center"/>
        </w:trPr>
        <w:tc>
          <w:tcPr>
            <w:tcW w:w="13606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sz w:val="21"/>
                <w:szCs w:val="21"/>
                <w:highlight w:val="none"/>
                <w:u w:val="none"/>
              </w:rPr>
              <w:t>（</w:t>
            </w:r>
            <w:r>
              <w:rPr>
                <w:rFonts w:hint="eastAsia" w:ascii="宋体" w:hAnsi="宋体" w:eastAsia="楷体_GB2312" w:cs="楷体_GB2312"/>
                <w:sz w:val="21"/>
                <w:szCs w:val="21"/>
                <w:highlight w:val="none"/>
                <w:u w:val="none"/>
                <w:lang w:eastAsia="zh-CN"/>
              </w:rPr>
              <w:t>五</w:t>
            </w:r>
            <w:r>
              <w:rPr>
                <w:rFonts w:hint="eastAsia" w:ascii="宋体" w:hAnsi="宋体" w:eastAsia="楷体_GB2312" w:cs="楷体_GB2312"/>
                <w:sz w:val="21"/>
                <w:szCs w:val="21"/>
                <w:highlight w:val="none"/>
                <w:u w:val="none"/>
              </w:rPr>
              <w:t>）实施要素供给体系优化行动</w:t>
            </w:r>
          </w:p>
        </w:tc>
      </w:tr>
      <w:tr>
        <w:trPr>
          <w:trHeight w:val="1134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优化产业空间布局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全力推进定制化标准厂房建设，加快构建只租不售的“工业保障房”体系，切实提升优质项目承载能力；积极探索混合产业用地供给模式，通过弹性出让、长期租赁、租让结合等多元化方式实现灵活供地，有效降低优质项目用地成本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持续推进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自然资源和规划局</w:t>
            </w:r>
          </w:p>
        </w:tc>
      </w:tr>
      <w:tr>
        <w:trPr>
          <w:trHeight w:val="1134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强化金融支撑效能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统筹运用专项债、超长期特别国债等金融工具，支持开发区基础设施建设和企业设备更新、产业发展。深化存量基金市场化运作，提升国企参与产业投资的专业能力，推动主导产业转型和新兴产业落地，实现“基金+国企+开发区”联动发展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持续推进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财政局</w:t>
            </w:r>
          </w:p>
        </w:tc>
      </w:tr>
      <w:tr>
        <w:trPr>
          <w:trHeight w:val="1134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健全生产性服务体系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重点培育发展物流仓储、研发设计、金融服务等生产性服务业，大力引进法律、人才、税务、金融等第三方专业服务机构，有效提升专业化服务水平。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持续推进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发展改革和统计局</w:t>
            </w:r>
          </w:p>
        </w:tc>
      </w:tr>
      <w:tr>
        <w:trPr>
          <w:trHeight w:val="1134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加速产业人才集聚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持续加大招才引智力度</w:t>
            </w: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推动开发区高标准建设公共实训基地，采用与职业院校、社会教育机构共建共管模式设立职业技能培训中心，为开发区主导产业发展提供坚实技能人才支撑。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持续推进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人力资源和社会保障局</w:t>
            </w:r>
          </w:p>
        </w:tc>
      </w:tr>
      <w:tr>
        <w:trPr>
          <w:trHeight w:val="1134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提升基础配套水平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推进开发区源网荷储一体化项目建设，推进光储充一体化设施及用户侧储能设施建设，加快构建智能微电网体系，增强开发区电力自我保障能力；科学配套建设人才公寓、保障性租赁住房及创客交流新型空间。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持续推进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发展改革和统计局</w:t>
            </w:r>
          </w:p>
        </w:tc>
      </w:tr>
      <w:tr>
        <w:trPr>
          <w:trHeight w:val="567" w:hRule="atLeast"/>
          <w:jc w:val="center"/>
        </w:trPr>
        <w:tc>
          <w:tcPr>
            <w:tcW w:w="13606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1"/>
                <w:szCs w:val="21"/>
                <w:highlight w:val="none"/>
                <w:u w:val="none"/>
              </w:rPr>
              <w:t>（</w:t>
            </w:r>
            <w:r>
              <w:rPr>
                <w:rFonts w:hint="eastAsia" w:ascii="宋体" w:hAnsi="宋体" w:eastAsia="楷体_GB2312" w:cs="楷体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六</w:t>
            </w:r>
            <w:r>
              <w:rPr>
                <w:rFonts w:hint="eastAsia" w:ascii="宋体" w:hAnsi="宋体" w:eastAsia="楷体_GB2312" w:cs="楷体_GB2312"/>
                <w:color w:val="auto"/>
                <w:sz w:val="21"/>
                <w:szCs w:val="21"/>
                <w:highlight w:val="none"/>
                <w:u w:val="none"/>
              </w:rPr>
              <w:t>）实施政策创新增能行动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强化用地要素保障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落实开发区低效用地认定标准及盘活利用政策，动态储备1000亩以上建设用地资源；建立健全政府统筹、市场运作、多元参与的产业用地更新机制，通过协议置换、费用奖惩等举措推动低效用地高效腾退，促进土地资源再开发再利用。</w:t>
            </w: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yellow"/>
                <w:u w:val="none"/>
                <w:lang w:eastAsia="zh-CN"/>
              </w:rPr>
              <w:t>加快批而未供土地盘活，鼓励落地项目优先使用批而未供土地，高新区批而未供土地</w:t>
            </w: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  <w:t>1296亩、经开区批而未供土地174亩、现代服务业开发区批而未供土地900亩，2026年底完成盘活任务。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2026年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highlight w:val="none"/>
                <w:u w:val="none"/>
                <w:lang w:eastAsia="zh-CN"/>
              </w:rPr>
              <w:t>自然资源和规划</w:t>
            </w: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局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提升基础设施建设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推动开发区与周边城区联动建设交通物流网络，加快数据基础设施建设，在智能制造、智慧物流等领域打造一批标杆性应用场景和示范工程。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持续推进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住房和城乡建设局</w:t>
            </w:r>
          </w:p>
        </w:tc>
      </w:tr>
      <w:tr>
        <w:trPr>
          <w:trHeight w:val="567" w:hRule="atLeast"/>
          <w:jc w:val="center"/>
        </w:trPr>
        <w:tc>
          <w:tcPr>
            <w:tcW w:w="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23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加大资金政策支持</w:t>
            </w:r>
          </w:p>
        </w:tc>
        <w:tc>
          <w:tcPr>
            <w:tcW w:w="7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baseline"/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落实示范区科技创新政策，强化对企业创新平台、数字化转型、优质产业项目建设等的政策扶持；创新土地供应方式，鼓励对入驻企业提供定制化租金优惠；</w:t>
            </w: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指导开发区用好各部门中央预算内、专项资金等，全力保障企业项目建设。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持续推进</w:t>
            </w:r>
          </w:p>
        </w:tc>
        <w:tc>
          <w:tcPr>
            <w:tcW w:w="22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财政局</w:t>
            </w:r>
          </w:p>
        </w:tc>
      </w:tr>
    </w:tbl>
    <w:p>
      <w:pPr>
        <w:pStyle w:val="9"/>
        <w:widowControl w:val="0"/>
        <w:wordWrap/>
        <w:snapToGrid/>
        <w:spacing w:line="590" w:lineRule="exact"/>
        <w:ind w:firstLine="640" w:firstLineChars="200"/>
        <w:textAlignment w:val="auto"/>
        <w:rPr>
          <w:rFonts w:hint="default" w:ascii="宋体" w:hAnsi="宋体" w:eastAsia="仿宋_GB2312" w:cs="仿宋_GB2312"/>
          <w:sz w:val="32"/>
          <w:szCs w:val="32"/>
          <w:u w:val="none"/>
          <w:lang w:val="en-US" w:eastAsia="zh-CN"/>
        </w:rPr>
      </w:pPr>
    </w:p>
    <w:p>
      <w:pPr>
        <w:pStyle w:val="9"/>
        <w:widowControl w:val="0"/>
        <w:wordWrap/>
        <w:snapToGrid/>
        <w:spacing w:line="590" w:lineRule="exact"/>
        <w:textAlignment w:val="auto"/>
        <w:sectPr>
          <w:footerReference r:id="rId4" w:type="default"/>
          <w:pgSz w:w="16840" w:h="11900" w:orient="landscape"/>
          <w:pgMar w:top="1531" w:right="1871" w:bottom="1531" w:left="1701" w:header="850" w:footer="1417" w:gutter="0"/>
          <w:pgNumType w:fmt="decimal"/>
          <w:cols w:space="720" w:num="1"/>
        </w:sectPr>
      </w:pPr>
    </w:p>
    <w:p>
      <w:pPr>
        <w:rPr>
          <w:rFonts w:hint="default" w:ascii="宋体" w:hAnsi="宋体"/>
          <w:color w:val="auto"/>
          <w:u w:val="none"/>
          <w:lang w:val="en-US" w:eastAsia="zh-CN"/>
        </w:rPr>
      </w:pPr>
    </w:p>
    <w:sectPr>
      <w:pgSz w:w="16838" w:h="11906" w:orient="landscape"/>
      <w:pgMar w:top="1531" w:right="1871" w:bottom="1531" w:left="1701" w:header="851" w:footer="992" w:gutter="0"/>
      <w:pgNumType w:fmt="decimal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"/>
      </w:rPr>
    </w:pPr>
    <w:r>
      <w:rPr>
        <w:rFonts w:ascii="Arial" w:hAnsi="Arial" w:eastAsia="Arial" w:cs="Arial"/>
        <w:snapToGrid w:val="0"/>
        <w:color w:val="000000"/>
        <w:sz w:val="2"/>
        <w:szCs w:val="21"/>
        <w:lang w:val="en-US" w:eastAsia="en-US" w:bidi="ar-SA"/>
      </w:rPr>
      <w:pict>
        <v:rect id="文本框 1025" o:spid="_x0000_s1025" style="position:absolute;left:0;margin-top:-13.4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widowControl w:val="0"/>
                  <w:wordWrap/>
                  <w:adjustRightInd w:val="0"/>
                  <w:snapToGrid w:val="0"/>
                  <w:ind w:left="315" w:leftChars="150" w:right="315" w:rightChars="150"/>
                  <w:textAlignment w:val="baseline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efaultTabStop w:val="4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</w:style>
  <w:style w:type="paragraph" w:styleId="2">
    <w:name w:val="Body Text"/>
    <w:basedOn w:val="1"/>
    <w:next w:val="1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2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Indent"/>
    <w:basedOn w:val="1"/>
    <w:next w:val="2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Normal (Web)"/>
    <w:basedOn w:val="1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8">
    <w:name w:val="Body Text First Indent 2"/>
    <w:basedOn w:val="6"/>
    <w:next w:val="1"/>
    <w:pPr>
      <w:spacing w:line="590" w:lineRule="exact"/>
    </w:pPr>
  </w:style>
  <w:style w:type="paragraph" w:customStyle="1" w:styleId="9">
    <w:name w:val="Default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0">
    <w:name w:val="font11"/>
    <w:rPr>
      <w:rFonts w:hint="eastAsia" w:ascii="仿宋_GB2312" w:hAnsi="Calibri" w:eastAsia="仿宋_GB2312" w:cs="仿宋_GB2312"/>
      <w:color w:val="000000"/>
      <w:sz w:val="24"/>
      <w:szCs w:val="24"/>
      <w:u w:val="none"/>
    </w:rPr>
  </w:style>
  <w:style w:type="character" w:customStyle="1" w:styleId="11">
    <w:name w:val="font21"/>
    <w:basedOn w:val="5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14375</Words>
  <Characters>15789</Characters>
  <Lines>36</Lines>
  <Paragraphs>10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2025-06-28T10:27:00Z</dcterms:created>
  <dc:creator>Administrator</dc:creator>
  <cp:lastPrinted>2025-09-20T16:24:00Z</cp:lastPrinted>
  <dcterms:modified xsi:type="dcterms:W3CDTF">2025-12-29T15:23:03Z</dcterms:modified>
  <dc:title>WPS_1643166451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2025-06-24T10:27:00Z</vt:filetime>
  </property>
  <property fmtid="{D5CDD505-2E9C-101B-9397-08002B2CF9AE}" pid="4" name="UsrData">
    <vt:lpwstr>685a0d1b9bbe14001fba3454wl</vt:lpwstr>
  </property>
  <property fmtid="{D5CDD505-2E9C-101B-9397-08002B2CF9AE}" pid="5" name="KSOProductBuildVer">
    <vt:lpwstr>2052-9.1.0.4167</vt:lpwstr>
  </property>
  <property fmtid="{D5CDD505-2E9C-101B-9397-08002B2CF9AE}" pid="6" name="ICV">
    <vt:lpwstr>2EEAB5C3193741F8A6F531329D55779D_13</vt:lpwstr>
  </property>
  <property fmtid="{D5CDD505-2E9C-101B-9397-08002B2CF9AE}" pid="7" name="KSOTemplateDocerSaveRecord">
    <vt:lpwstr>eyJoZGlkIjoiMDk4MzljMjQ1MzdkNTRhMmMxNWQyYmVkZDhjMThjMjAiLCJ1c2VySWQiOiIxMzI0MTA4NDU5In0=</vt:lpwstr>
  </property>
</Properties>
</file>