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方正黑体_GBK" w:eastAsia="方正黑体_GBK" w:cs="宋体"/>
          <w:sz w:val="32"/>
          <w:szCs w:val="32"/>
          <w:shd w:val="clear" w:color="auto" w:fill="FFFFFF"/>
          <w:lang w:bidi="ar-SA"/>
        </w:rPr>
      </w:pPr>
    </w:p>
    <w:p>
      <w:pPr>
        <w:jc w:val="center"/>
        <w:rPr>
          <w:rFonts w:hint="eastAsia" w:ascii="宋体" w:cs="宋体"/>
          <w:sz w:val="28"/>
          <w:szCs w:val="28"/>
          <w:shd w:val="clear" w:color="auto" w:fill="FFFFFF"/>
          <w:lang w:bidi="ar-SA"/>
        </w:rPr>
      </w:pPr>
      <w:r>
        <w:rPr>
          <w:rFonts w:hint="eastAsia" w:ascii="方正小标宋简体" w:eastAsia="方正小标宋简体" w:cs="宋体"/>
          <w:sz w:val="40"/>
          <w:szCs w:val="40"/>
          <w:shd w:val="clear" w:color="auto" w:fill="FFFFFF"/>
          <w:lang w:bidi="ar-SA"/>
        </w:rPr>
        <w:t>新闻出版版权领域基层政务公开标准目录</w:t>
      </w:r>
    </w:p>
    <w:p>
      <w:pPr>
        <w:widowControl/>
        <w:jc w:val="left"/>
        <w:rPr>
          <w:rFonts w:hint="eastAsia" w:ascii="宋体" w:eastAsia="宋体" w:cs="宋体"/>
          <w:kern w:val="0"/>
          <w:sz w:val="24"/>
          <w:shd w:val="clear" w:color="auto" w:fill="FFFFFF"/>
          <w:lang w:bidi="ar-SA"/>
        </w:rPr>
      </w:pPr>
    </w:p>
    <w:tbl>
      <w:tblPr>
        <w:tblW w:w="14388"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0" w:type="dxa"/>
          <w:bottom w:w="0" w:type="dxa"/>
          <w:right w:w="0" w:type="dxa"/>
        </w:tblCellMar>
      </w:tblPr>
      <w:tblGrid>
        <w:gridCol w:w="675"/>
        <w:gridCol w:w="825"/>
        <w:gridCol w:w="1170"/>
        <w:gridCol w:w="1849"/>
        <w:gridCol w:w="2545"/>
        <w:gridCol w:w="1140"/>
        <w:gridCol w:w="980"/>
        <w:gridCol w:w="1795"/>
        <w:gridCol w:w="435"/>
        <w:gridCol w:w="705"/>
        <w:gridCol w:w="465"/>
        <w:gridCol w:w="840"/>
        <w:gridCol w:w="480"/>
        <w:gridCol w:w="484"/>
      </w:tblGrid>
      <w:tr>
        <w:trPr>
          <w:jc w:val="center"/>
        </w:trPr>
        <w:tc>
          <w:tcPr>
            <w:tcW w:w="675" w:type="dxa"/>
            <w:vMerge w:val="restart"/>
            <w:tcBorders>
              <w:top w:val="single" w:color="000000" w:sz="6" w:space="0"/>
              <w:left w:val="single" w:color="000000" w:sz="6" w:space="0"/>
              <w:bottom w:val="single" w:color="000000" w:sz="6" w:space="0"/>
              <w:right w:val="nil"/>
            </w:tcBorders>
            <w:vAlign w:val="center"/>
          </w:tcPr>
          <w:p>
            <w:pPr>
              <w:widowControl/>
              <w:jc w:val="center"/>
              <w:rPr>
                <w:rFonts w:hint="eastAsia" w:ascii="黑体" w:eastAsia="黑体" w:cs="Times New Roman"/>
                <w:kern w:val="0"/>
                <w:sz w:val="19"/>
                <w:szCs w:val="19"/>
                <w:lang w:bidi="ar-SA"/>
              </w:rPr>
            </w:pPr>
            <w:r>
              <w:rPr>
                <w:rFonts w:hint="eastAsia" w:ascii="黑体" w:eastAsia="黑体" w:cs="宋体"/>
                <w:kern w:val="0"/>
                <w:sz w:val="24"/>
                <w:lang w:bidi="ar-SA"/>
              </w:rPr>
              <w:t>序号</w:t>
            </w:r>
          </w:p>
        </w:tc>
        <w:tc>
          <w:tcPr>
            <w:tcW w:w="1995" w:type="dxa"/>
            <w:gridSpan w:val="2"/>
            <w:tcBorders>
              <w:top w:val="single" w:color="000000" w:sz="6" w:space="0"/>
              <w:left w:val="single" w:color="000000" w:sz="6" w:space="0"/>
              <w:bottom w:val="single" w:color="000000" w:sz="6" w:space="0"/>
              <w:right w:val="nil"/>
            </w:tcBorders>
            <w:vAlign w:val="center"/>
          </w:tcPr>
          <w:p>
            <w:pPr>
              <w:widowControl/>
              <w:jc w:val="center"/>
              <w:rPr>
                <w:rFonts w:hint="eastAsia" w:ascii="黑体" w:eastAsia="黑体" w:cs="Times New Roman"/>
                <w:kern w:val="0"/>
                <w:sz w:val="19"/>
                <w:szCs w:val="19"/>
                <w:lang w:bidi="ar-SA"/>
              </w:rPr>
            </w:pPr>
            <w:r>
              <w:rPr>
                <w:rFonts w:hint="eastAsia" w:ascii="黑体" w:eastAsia="黑体" w:cs="宋体"/>
                <w:kern w:val="0"/>
                <w:sz w:val="24"/>
                <w:lang w:bidi="ar-SA"/>
              </w:rPr>
              <w:t>公开事项</w:t>
            </w:r>
          </w:p>
        </w:tc>
        <w:tc>
          <w:tcPr>
            <w:tcW w:w="1849" w:type="dxa"/>
            <w:vMerge w:val="restart"/>
            <w:tcBorders>
              <w:top w:val="single" w:color="000000" w:sz="6" w:space="0"/>
              <w:left w:val="single" w:color="000000" w:sz="6" w:space="0"/>
              <w:bottom w:val="single" w:color="000000" w:sz="6" w:space="0"/>
              <w:right w:val="nil"/>
            </w:tcBorders>
            <w:vAlign w:val="center"/>
          </w:tcPr>
          <w:p>
            <w:pPr>
              <w:widowControl/>
              <w:jc w:val="center"/>
              <w:rPr>
                <w:rFonts w:hint="eastAsia" w:ascii="黑体" w:eastAsia="黑体" w:cs="Times New Roman"/>
                <w:kern w:val="0"/>
                <w:sz w:val="19"/>
                <w:szCs w:val="19"/>
                <w:lang w:bidi="ar-SA"/>
              </w:rPr>
            </w:pPr>
            <w:r>
              <w:rPr>
                <w:rFonts w:hint="eastAsia" w:ascii="黑体" w:eastAsia="黑体" w:cs="宋体"/>
                <w:kern w:val="0"/>
                <w:sz w:val="24"/>
                <w:lang w:bidi="ar-SA"/>
              </w:rPr>
              <w:t>公开内容</w:t>
            </w:r>
          </w:p>
          <w:p>
            <w:pPr>
              <w:widowControl/>
              <w:jc w:val="center"/>
              <w:rPr>
                <w:rFonts w:hint="eastAsia" w:ascii="黑体" w:eastAsia="黑体" w:cs="Times New Roman"/>
                <w:kern w:val="0"/>
                <w:sz w:val="19"/>
                <w:szCs w:val="19"/>
                <w:lang w:bidi="ar-SA"/>
              </w:rPr>
            </w:pPr>
            <w:r>
              <w:rPr>
                <w:rFonts w:hint="eastAsia" w:ascii="黑体" w:eastAsia="黑体" w:cs="宋体"/>
                <w:kern w:val="0"/>
                <w:sz w:val="24"/>
                <w:lang w:bidi="ar-SA"/>
              </w:rPr>
              <w:t>（要素）</w:t>
            </w:r>
          </w:p>
        </w:tc>
        <w:tc>
          <w:tcPr>
            <w:tcW w:w="2545" w:type="dxa"/>
            <w:vMerge w:val="restart"/>
            <w:tcBorders>
              <w:top w:val="single" w:color="000000" w:sz="6" w:space="0"/>
              <w:left w:val="single" w:color="000000" w:sz="6" w:space="0"/>
              <w:bottom w:val="single" w:color="000000" w:sz="6" w:space="0"/>
              <w:right w:val="nil"/>
            </w:tcBorders>
            <w:vAlign w:val="center"/>
          </w:tcPr>
          <w:p>
            <w:pPr>
              <w:widowControl/>
              <w:jc w:val="center"/>
              <w:rPr>
                <w:rFonts w:hint="eastAsia" w:ascii="黑体" w:eastAsia="黑体" w:cs="Times New Roman"/>
                <w:snapToGrid w:val="0"/>
                <w:kern w:val="0"/>
                <w:sz w:val="19"/>
                <w:szCs w:val="19"/>
                <w:lang w:bidi="ar-SA"/>
              </w:rPr>
            </w:pPr>
            <w:r>
              <w:rPr>
                <w:rFonts w:hint="eastAsia" w:ascii="黑体" w:eastAsia="黑体" w:cs="宋体"/>
                <w:snapToGrid w:val="0"/>
                <w:kern w:val="0"/>
                <w:sz w:val="24"/>
                <w:lang w:bidi="ar-SA"/>
              </w:rPr>
              <w:t>公开依据</w:t>
            </w:r>
          </w:p>
        </w:tc>
        <w:tc>
          <w:tcPr>
            <w:tcW w:w="1140" w:type="dxa"/>
            <w:vMerge w:val="restart"/>
            <w:tcBorders>
              <w:top w:val="single" w:color="000000" w:sz="6" w:space="0"/>
              <w:left w:val="single" w:color="000000" w:sz="6" w:space="0"/>
              <w:bottom w:val="single" w:color="000000" w:sz="6" w:space="0"/>
              <w:right w:val="nil"/>
            </w:tcBorders>
            <w:vAlign w:val="center"/>
          </w:tcPr>
          <w:p>
            <w:pPr>
              <w:widowControl/>
              <w:jc w:val="center"/>
              <w:rPr>
                <w:rFonts w:hint="eastAsia" w:ascii="黑体" w:eastAsia="黑体" w:cs="宋体"/>
                <w:kern w:val="0"/>
                <w:sz w:val="24"/>
                <w:lang w:bidi="ar-SA"/>
              </w:rPr>
            </w:pPr>
            <w:r>
              <w:rPr>
                <w:rFonts w:hint="eastAsia" w:ascii="黑体" w:eastAsia="黑体" w:cs="宋体"/>
                <w:kern w:val="0"/>
                <w:sz w:val="24"/>
                <w:lang w:bidi="ar-SA"/>
              </w:rPr>
              <w:t xml:space="preserve">公开时限  </w:t>
            </w:r>
          </w:p>
        </w:tc>
        <w:tc>
          <w:tcPr>
            <w:tcW w:w="980" w:type="dxa"/>
            <w:vMerge w:val="restart"/>
            <w:tcBorders>
              <w:top w:val="single" w:color="000000" w:sz="6" w:space="0"/>
              <w:left w:val="single" w:color="000000" w:sz="6" w:space="0"/>
              <w:bottom w:val="single" w:color="000000" w:sz="6" w:space="0"/>
              <w:right w:val="nil"/>
            </w:tcBorders>
            <w:vAlign w:val="center"/>
          </w:tcPr>
          <w:p>
            <w:pPr>
              <w:widowControl/>
              <w:jc w:val="center"/>
              <w:rPr>
                <w:rFonts w:hint="eastAsia" w:ascii="黑体" w:eastAsia="黑体" w:cs="Times New Roman"/>
                <w:kern w:val="0"/>
                <w:sz w:val="19"/>
                <w:szCs w:val="19"/>
                <w:lang w:bidi="ar-SA"/>
              </w:rPr>
            </w:pPr>
            <w:r>
              <w:rPr>
                <w:rFonts w:hint="eastAsia" w:ascii="黑体" w:eastAsia="黑体" w:cs="宋体"/>
                <w:kern w:val="0"/>
                <w:sz w:val="24"/>
                <w:lang w:bidi="ar-SA"/>
              </w:rPr>
              <w:t>公开主体</w:t>
            </w:r>
          </w:p>
        </w:tc>
        <w:tc>
          <w:tcPr>
            <w:tcW w:w="1795" w:type="dxa"/>
            <w:vMerge w:val="restart"/>
            <w:tcBorders>
              <w:top w:val="single" w:color="000000" w:sz="6" w:space="0"/>
              <w:left w:val="single" w:color="000000" w:sz="6" w:space="0"/>
              <w:bottom w:val="single" w:color="000000" w:sz="6" w:space="0"/>
              <w:right w:val="nil"/>
            </w:tcBorders>
            <w:vAlign w:val="center"/>
          </w:tcPr>
          <w:p>
            <w:pPr>
              <w:widowControl/>
              <w:jc w:val="center"/>
              <w:rPr>
                <w:rFonts w:hint="eastAsia" w:ascii="黑体" w:eastAsia="黑体" w:cs="宋体"/>
                <w:kern w:val="0"/>
                <w:sz w:val="24"/>
                <w:lang w:bidi="ar-SA"/>
              </w:rPr>
            </w:pPr>
            <w:r>
              <w:rPr>
                <w:rFonts w:hint="eastAsia" w:ascii="黑体" w:eastAsia="黑体" w:cs="宋体"/>
                <w:kern w:val="0"/>
                <w:sz w:val="24"/>
                <w:lang w:bidi="ar-SA"/>
              </w:rPr>
              <w:t>公开渠道</w:t>
            </w:r>
          </w:p>
          <w:p>
            <w:pPr>
              <w:widowControl/>
              <w:jc w:val="center"/>
              <w:rPr>
                <w:rFonts w:hint="eastAsia" w:ascii="黑体" w:eastAsia="黑体" w:cs="Times New Roman"/>
                <w:kern w:val="0"/>
                <w:sz w:val="19"/>
                <w:szCs w:val="19"/>
                <w:lang w:bidi="ar-SA"/>
              </w:rPr>
            </w:pPr>
            <w:r>
              <w:rPr>
                <w:rFonts w:hint="eastAsia" w:ascii="黑体" w:eastAsia="黑体" w:cs="宋体"/>
                <w:kern w:val="0"/>
                <w:sz w:val="24"/>
                <w:lang w:bidi="ar-SA"/>
              </w:rPr>
              <w:t>和载体</w:t>
            </w:r>
          </w:p>
        </w:tc>
        <w:tc>
          <w:tcPr>
            <w:tcW w:w="1140" w:type="dxa"/>
            <w:gridSpan w:val="2"/>
            <w:tcBorders>
              <w:top w:val="single" w:color="000000" w:sz="6" w:space="0"/>
              <w:left w:val="single" w:color="000000" w:sz="6" w:space="0"/>
              <w:bottom w:val="single" w:color="000000" w:sz="6" w:space="0"/>
              <w:right w:val="nil"/>
            </w:tcBorders>
            <w:vAlign w:val="center"/>
          </w:tcPr>
          <w:p>
            <w:pPr>
              <w:widowControl/>
              <w:jc w:val="center"/>
              <w:rPr>
                <w:rFonts w:hint="eastAsia" w:ascii="黑体" w:eastAsia="黑体" w:cs="Times New Roman"/>
                <w:kern w:val="0"/>
                <w:sz w:val="19"/>
                <w:szCs w:val="19"/>
                <w:lang w:bidi="ar-SA"/>
              </w:rPr>
            </w:pPr>
            <w:r>
              <w:rPr>
                <w:rFonts w:hint="eastAsia" w:ascii="黑体" w:eastAsia="黑体" w:cs="宋体"/>
                <w:kern w:val="0"/>
                <w:sz w:val="24"/>
                <w:lang w:bidi="ar-SA"/>
              </w:rPr>
              <w:t>公开对象</w:t>
            </w:r>
          </w:p>
        </w:tc>
        <w:tc>
          <w:tcPr>
            <w:tcW w:w="1305" w:type="dxa"/>
            <w:gridSpan w:val="2"/>
            <w:tcBorders>
              <w:top w:val="single" w:color="000000" w:sz="6" w:space="0"/>
              <w:left w:val="single" w:color="000000" w:sz="6" w:space="0"/>
              <w:bottom w:val="single" w:color="000000" w:sz="6" w:space="0"/>
              <w:right w:val="nil"/>
            </w:tcBorders>
            <w:vAlign w:val="center"/>
          </w:tcPr>
          <w:p>
            <w:pPr>
              <w:widowControl/>
              <w:jc w:val="center"/>
              <w:rPr>
                <w:rFonts w:hint="eastAsia" w:ascii="黑体" w:eastAsia="黑体" w:cs="Times New Roman"/>
                <w:kern w:val="0"/>
                <w:sz w:val="19"/>
                <w:szCs w:val="19"/>
                <w:lang w:bidi="ar-SA"/>
              </w:rPr>
            </w:pPr>
            <w:r>
              <w:rPr>
                <w:rFonts w:hint="eastAsia" w:ascii="黑体" w:eastAsia="黑体" w:cs="宋体"/>
                <w:kern w:val="0"/>
                <w:sz w:val="24"/>
                <w:lang w:bidi="ar-SA"/>
              </w:rPr>
              <w:t>公开方式</w:t>
            </w:r>
          </w:p>
        </w:tc>
        <w:tc>
          <w:tcPr>
            <w:tcW w:w="964"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hint="eastAsia" w:ascii="黑体" w:eastAsia="黑体" w:cs="宋体"/>
                <w:kern w:val="0"/>
                <w:sz w:val="24"/>
                <w:lang w:bidi="ar-SA"/>
              </w:rPr>
            </w:pPr>
            <w:r>
              <w:rPr>
                <w:rFonts w:hint="eastAsia" w:ascii="黑体" w:eastAsia="黑体" w:cs="宋体"/>
                <w:kern w:val="0"/>
                <w:sz w:val="24"/>
                <w:lang w:bidi="ar-SA"/>
              </w:rPr>
              <w:t>公开</w:t>
            </w:r>
          </w:p>
          <w:p>
            <w:pPr>
              <w:widowControl/>
              <w:jc w:val="center"/>
              <w:rPr>
                <w:rFonts w:hint="eastAsia" w:ascii="黑体" w:eastAsia="黑体" w:cs="Times New Roman"/>
                <w:kern w:val="0"/>
                <w:sz w:val="19"/>
                <w:szCs w:val="19"/>
                <w:lang w:bidi="ar-SA"/>
              </w:rPr>
            </w:pPr>
            <w:r>
              <w:rPr>
                <w:rFonts w:hint="eastAsia" w:ascii="黑体" w:eastAsia="黑体" w:cs="宋体"/>
                <w:kern w:val="0"/>
                <w:sz w:val="24"/>
                <w:lang w:bidi="ar-SA"/>
              </w:rPr>
              <w:t>层级</w:t>
            </w:r>
          </w:p>
        </w:tc>
      </w:tr>
      <w:tr>
        <w:trPr>
          <w:jc w:val="center"/>
        </w:trPr>
        <w:tc>
          <w:tcPr>
            <w:tcW w:w="675" w:type="dxa"/>
            <w:vMerge w:val="continue"/>
            <w:tcBorders>
              <w:top w:val="single" w:color="000000" w:sz="6" w:space="0"/>
              <w:left w:val="single" w:color="000000" w:sz="6" w:space="0"/>
              <w:bottom w:val="single" w:color="000000" w:sz="6" w:space="0"/>
              <w:right w:val="nil"/>
            </w:tcBorders>
            <w:tcMar>
              <w:left w:w="115" w:type="dxa"/>
            </w:tcMar>
            <w:vAlign w:val="center"/>
          </w:tcPr>
          <w:p/>
        </w:tc>
        <w:tc>
          <w:tcPr>
            <w:tcW w:w="825" w:type="dxa"/>
            <w:tcBorders>
              <w:top w:val="single" w:color="000000" w:sz="6" w:space="0"/>
              <w:left w:val="single" w:color="000000" w:sz="6" w:space="0"/>
              <w:bottom w:val="single" w:color="000000" w:sz="6" w:space="0"/>
              <w:right w:val="nil"/>
            </w:tcBorders>
            <w:vAlign w:val="center"/>
          </w:tcPr>
          <w:p>
            <w:pPr>
              <w:widowControl/>
              <w:jc w:val="center"/>
              <w:rPr>
                <w:rFonts w:hint="eastAsia" w:ascii="黑体" w:eastAsia="黑体" w:cs="宋体"/>
                <w:kern w:val="0"/>
                <w:sz w:val="24"/>
                <w:lang w:bidi="ar-SA"/>
              </w:rPr>
            </w:pPr>
            <w:r>
              <w:rPr>
                <w:rFonts w:hint="eastAsia" w:ascii="黑体" w:eastAsia="黑体" w:cs="宋体"/>
                <w:kern w:val="0"/>
                <w:sz w:val="24"/>
                <w:lang w:bidi="ar-SA"/>
              </w:rPr>
              <w:t>一级</w:t>
            </w:r>
          </w:p>
          <w:p>
            <w:pPr>
              <w:widowControl/>
              <w:jc w:val="center"/>
              <w:rPr>
                <w:rFonts w:hint="eastAsia" w:ascii="黑体" w:eastAsia="黑体" w:cs="Times New Roman"/>
                <w:kern w:val="0"/>
                <w:sz w:val="19"/>
                <w:szCs w:val="19"/>
                <w:lang w:bidi="ar-SA"/>
              </w:rPr>
            </w:pPr>
            <w:r>
              <w:rPr>
                <w:rFonts w:hint="eastAsia" w:ascii="黑体" w:eastAsia="黑体" w:cs="宋体"/>
                <w:kern w:val="0"/>
                <w:sz w:val="24"/>
                <w:lang w:bidi="ar-SA"/>
              </w:rPr>
              <w:t>事项</w:t>
            </w:r>
          </w:p>
        </w:tc>
        <w:tc>
          <w:tcPr>
            <w:tcW w:w="1170" w:type="dxa"/>
            <w:tcBorders>
              <w:top w:val="single" w:color="000000" w:sz="6" w:space="0"/>
              <w:left w:val="single" w:color="000000" w:sz="6" w:space="0"/>
              <w:bottom w:val="single" w:color="000000" w:sz="6" w:space="0"/>
              <w:right w:val="nil"/>
            </w:tcBorders>
            <w:vAlign w:val="center"/>
          </w:tcPr>
          <w:p>
            <w:pPr>
              <w:widowControl/>
              <w:jc w:val="center"/>
              <w:rPr>
                <w:rFonts w:hint="eastAsia" w:ascii="黑体" w:eastAsia="黑体" w:cs="Times New Roman"/>
                <w:kern w:val="0"/>
                <w:sz w:val="19"/>
                <w:szCs w:val="19"/>
                <w:lang w:bidi="ar-SA"/>
              </w:rPr>
            </w:pPr>
            <w:r>
              <w:rPr>
                <w:rFonts w:hint="eastAsia" w:ascii="黑体" w:eastAsia="黑体" w:cs="宋体"/>
                <w:kern w:val="0"/>
                <w:sz w:val="24"/>
                <w:lang w:bidi="ar-SA"/>
              </w:rPr>
              <w:t>二级事项</w:t>
            </w:r>
          </w:p>
        </w:tc>
        <w:tc>
          <w:tcPr>
            <w:tcW w:w="1849" w:type="dxa"/>
            <w:vMerge w:val="continue"/>
            <w:tcBorders>
              <w:top w:val="single" w:color="000000" w:sz="6" w:space="0"/>
              <w:left w:val="single" w:color="000000" w:sz="6" w:space="0"/>
              <w:bottom w:val="single" w:color="000000" w:sz="6" w:space="0"/>
              <w:right w:val="nil"/>
            </w:tcBorders>
            <w:tcMar>
              <w:left w:w="115" w:type="dxa"/>
            </w:tcMar>
            <w:vAlign w:val="center"/>
          </w:tcPr>
          <w:p/>
        </w:tc>
        <w:tc>
          <w:tcPr>
            <w:tcW w:w="2545" w:type="dxa"/>
            <w:vMerge w:val="continue"/>
            <w:tcBorders>
              <w:top w:val="single" w:color="000000" w:sz="6" w:space="0"/>
              <w:left w:val="single" w:color="000000" w:sz="6" w:space="0"/>
              <w:bottom w:val="single" w:color="000000" w:sz="6" w:space="0"/>
              <w:right w:val="nil"/>
            </w:tcBorders>
            <w:tcMar>
              <w:left w:w="115" w:type="dxa"/>
            </w:tcMar>
            <w:vAlign w:val="center"/>
          </w:tcPr>
          <w:p/>
        </w:tc>
        <w:tc>
          <w:tcPr>
            <w:tcW w:w="1140" w:type="dxa"/>
            <w:vMerge w:val="continue"/>
            <w:tcBorders>
              <w:top w:val="single" w:color="000000" w:sz="6" w:space="0"/>
              <w:left w:val="single" w:color="000000" w:sz="6" w:space="0"/>
              <w:bottom w:val="single" w:color="000000" w:sz="6" w:space="0"/>
              <w:right w:val="nil"/>
            </w:tcBorders>
            <w:tcMar>
              <w:left w:w="115" w:type="dxa"/>
            </w:tcMar>
            <w:vAlign w:val="center"/>
          </w:tcPr>
          <w:p/>
        </w:tc>
        <w:tc>
          <w:tcPr>
            <w:tcW w:w="980" w:type="dxa"/>
            <w:vMerge w:val="continue"/>
            <w:tcBorders>
              <w:top w:val="single" w:color="000000" w:sz="6" w:space="0"/>
              <w:left w:val="single" w:color="000000" w:sz="6" w:space="0"/>
              <w:bottom w:val="single" w:color="000000" w:sz="6" w:space="0"/>
              <w:right w:val="nil"/>
            </w:tcBorders>
            <w:tcMar>
              <w:left w:w="115" w:type="dxa"/>
            </w:tcMar>
            <w:vAlign w:val="center"/>
          </w:tcPr>
          <w:p/>
        </w:tc>
        <w:tc>
          <w:tcPr>
            <w:tcW w:w="1795" w:type="dxa"/>
            <w:vMerge w:val="continue"/>
            <w:tcBorders>
              <w:top w:val="single" w:color="000000" w:sz="6" w:space="0"/>
              <w:left w:val="single" w:color="000000" w:sz="6" w:space="0"/>
              <w:bottom w:val="single" w:color="000000" w:sz="6" w:space="0"/>
              <w:right w:val="nil"/>
            </w:tcBorders>
            <w:tcMar>
              <w:left w:w="115" w:type="dxa"/>
            </w:tcMar>
            <w:vAlign w:val="center"/>
          </w:tcPr>
          <w:p/>
        </w:tc>
        <w:tc>
          <w:tcPr>
            <w:tcW w:w="435" w:type="dxa"/>
            <w:tcBorders>
              <w:top w:val="single" w:color="000000" w:sz="6" w:space="0"/>
              <w:left w:val="single" w:color="000000" w:sz="6" w:space="0"/>
              <w:bottom w:val="single" w:color="000000" w:sz="6" w:space="0"/>
              <w:right w:val="nil"/>
            </w:tcBorders>
            <w:vAlign w:val="center"/>
          </w:tcPr>
          <w:p>
            <w:pPr>
              <w:widowControl/>
              <w:jc w:val="center"/>
              <w:rPr>
                <w:rFonts w:hint="eastAsia" w:ascii="黑体" w:eastAsia="黑体" w:cs="Times New Roman"/>
                <w:kern w:val="0"/>
                <w:sz w:val="19"/>
                <w:szCs w:val="19"/>
                <w:lang w:bidi="ar-SA"/>
              </w:rPr>
            </w:pPr>
            <w:r>
              <w:rPr>
                <w:rFonts w:hint="eastAsia" w:ascii="黑体" w:eastAsia="黑体" w:cs="宋体"/>
                <w:kern w:val="0"/>
                <w:sz w:val="24"/>
                <w:lang w:bidi="ar-SA"/>
              </w:rPr>
              <w:t>全社会</w:t>
            </w:r>
          </w:p>
        </w:tc>
        <w:tc>
          <w:tcPr>
            <w:tcW w:w="705" w:type="dxa"/>
            <w:tcBorders>
              <w:top w:val="single" w:color="000000" w:sz="6" w:space="0"/>
              <w:left w:val="single" w:color="000000" w:sz="6" w:space="0"/>
              <w:bottom w:val="single" w:color="000000" w:sz="6" w:space="0"/>
              <w:right w:val="nil"/>
            </w:tcBorders>
            <w:vAlign w:val="center"/>
          </w:tcPr>
          <w:p>
            <w:pPr>
              <w:widowControl/>
              <w:jc w:val="center"/>
              <w:rPr>
                <w:rFonts w:hint="eastAsia" w:ascii="黑体" w:eastAsia="黑体" w:cs="Times New Roman"/>
                <w:kern w:val="0"/>
                <w:sz w:val="19"/>
                <w:szCs w:val="19"/>
                <w:lang w:bidi="ar-SA"/>
              </w:rPr>
            </w:pPr>
            <w:r>
              <w:rPr>
                <w:rFonts w:hint="eastAsia" w:ascii="黑体" w:eastAsia="黑体" w:cs="宋体"/>
                <w:kern w:val="0"/>
                <w:sz w:val="24"/>
                <w:lang w:bidi="ar-SA"/>
              </w:rPr>
              <w:t>特定群众</w:t>
            </w:r>
          </w:p>
        </w:tc>
        <w:tc>
          <w:tcPr>
            <w:tcW w:w="465" w:type="dxa"/>
            <w:tcBorders>
              <w:top w:val="single" w:color="000000" w:sz="6" w:space="0"/>
              <w:left w:val="single" w:color="000000" w:sz="6" w:space="0"/>
              <w:bottom w:val="single" w:color="000000" w:sz="6" w:space="0"/>
              <w:right w:val="nil"/>
            </w:tcBorders>
            <w:vAlign w:val="center"/>
          </w:tcPr>
          <w:p>
            <w:pPr>
              <w:widowControl/>
              <w:jc w:val="center"/>
              <w:rPr>
                <w:rFonts w:hint="eastAsia" w:ascii="黑体" w:eastAsia="黑体" w:cs="Times New Roman"/>
                <w:kern w:val="0"/>
                <w:sz w:val="19"/>
                <w:szCs w:val="19"/>
                <w:lang w:bidi="ar-SA"/>
              </w:rPr>
            </w:pPr>
            <w:r>
              <w:rPr>
                <w:rFonts w:hint="eastAsia" w:ascii="黑体" w:eastAsia="黑体" w:cs="宋体"/>
                <w:kern w:val="0"/>
                <w:sz w:val="24"/>
                <w:lang w:bidi="ar-SA"/>
              </w:rPr>
              <w:t>主动公开</w:t>
            </w:r>
          </w:p>
        </w:tc>
        <w:tc>
          <w:tcPr>
            <w:tcW w:w="840" w:type="dxa"/>
            <w:tcBorders>
              <w:top w:val="single" w:color="000000" w:sz="6" w:space="0"/>
              <w:left w:val="single" w:color="000000" w:sz="6" w:space="0"/>
              <w:bottom w:val="single" w:color="000000" w:sz="6" w:space="0"/>
              <w:right w:val="nil"/>
            </w:tcBorders>
            <w:vAlign w:val="center"/>
          </w:tcPr>
          <w:p>
            <w:pPr>
              <w:widowControl/>
              <w:jc w:val="center"/>
              <w:rPr>
                <w:rFonts w:hint="eastAsia" w:ascii="黑体" w:eastAsia="黑体" w:cs="Times New Roman"/>
                <w:kern w:val="0"/>
                <w:sz w:val="19"/>
                <w:szCs w:val="19"/>
                <w:lang w:bidi="ar-SA"/>
              </w:rPr>
            </w:pPr>
            <w:r>
              <w:rPr>
                <w:rFonts w:hint="eastAsia" w:ascii="黑体" w:eastAsia="黑体" w:cs="宋体"/>
                <w:kern w:val="0"/>
                <w:sz w:val="24"/>
                <w:lang w:bidi="ar-SA"/>
              </w:rPr>
              <w:t>依申请公开</w:t>
            </w:r>
          </w:p>
        </w:tc>
        <w:tc>
          <w:tcPr>
            <w:tcW w:w="480" w:type="dxa"/>
            <w:tcBorders>
              <w:top w:val="single" w:color="000000" w:sz="6" w:space="0"/>
              <w:left w:val="single" w:color="000000" w:sz="6" w:space="0"/>
              <w:bottom w:val="single" w:color="000000" w:sz="6" w:space="0"/>
              <w:right w:val="nil"/>
            </w:tcBorders>
            <w:vAlign w:val="center"/>
          </w:tcPr>
          <w:p>
            <w:pPr>
              <w:widowControl/>
              <w:jc w:val="center"/>
              <w:rPr>
                <w:rFonts w:hint="eastAsia" w:ascii="黑体" w:eastAsia="黑体" w:cs="Times New Roman"/>
                <w:kern w:val="0"/>
                <w:sz w:val="19"/>
                <w:szCs w:val="19"/>
                <w:lang w:bidi="ar-SA"/>
              </w:rPr>
            </w:pPr>
            <w:r>
              <w:rPr>
                <w:rFonts w:hint="eastAsia" w:ascii="黑体" w:eastAsia="黑体" w:cs="宋体"/>
                <w:kern w:val="0"/>
                <w:sz w:val="24"/>
                <w:lang w:bidi="ar-SA"/>
              </w:rPr>
              <w:t>县级</w:t>
            </w:r>
          </w:p>
        </w:tc>
        <w:tc>
          <w:tcPr>
            <w:tcW w:w="484" w:type="dxa"/>
            <w:tcBorders>
              <w:top w:val="single" w:color="000000" w:sz="6" w:space="0"/>
              <w:left w:val="single" w:color="000000" w:sz="6" w:space="0"/>
              <w:bottom w:val="single" w:color="000000" w:sz="6" w:space="0"/>
              <w:right w:val="single" w:color="000000" w:sz="6" w:space="0"/>
            </w:tcBorders>
            <w:tcMar>
              <w:right w:w="115" w:type="dxa"/>
            </w:tcMar>
            <w:vAlign w:val="center"/>
          </w:tcPr>
          <w:p>
            <w:pPr>
              <w:widowControl/>
              <w:jc w:val="center"/>
              <w:rPr>
                <w:rFonts w:hint="eastAsia" w:ascii="黑体" w:eastAsia="黑体" w:cs="宋体"/>
                <w:kern w:val="0"/>
                <w:sz w:val="24"/>
                <w:lang w:bidi="ar-SA"/>
              </w:rPr>
            </w:pPr>
            <w:r>
              <w:rPr>
                <w:rFonts w:hint="eastAsia" w:ascii="黑体" w:eastAsia="黑体" w:cs="宋体"/>
                <w:kern w:val="0"/>
                <w:sz w:val="24"/>
                <w:lang w:bidi="ar-SA"/>
              </w:rPr>
              <w:t>乡、村级</w:t>
            </w:r>
          </w:p>
        </w:tc>
      </w:tr>
      <w:tr>
        <w:trPr>
          <w:trHeight w:val="289" w:hRule="atLeast"/>
          <w:jc w:val="center"/>
        </w:trPr>
        <w:tc>
          <w:tcPr>
            <w:tcW w:w="675" w:type="dxa"/>
            <w:tcBorders>
              <w:top w:val="single" w:color="000000" w:sz="6" w:space="0"/>
              <w:left w:val="single" w:color="000000" w:sz="6" w:space="0"/>
              <w:bottom w:val="single" w:color="000000" w:sz="6" w:space="0"/>
              <w:right w:val="nil"/>
            </w:tcBorders>
            <w:vAlign w:val="center"/>
          </w:tcPr>
          <w:p>
            <w:pPr>
              <w:widowControl/>
              <w:jc w:val="center"/>
              <w:rPr>
                <w:rFonts w:hint="eastAsia" w:ascii="Times New Roman" w:hAnsi="Times New Roman" w:eastAsia="仿宋_GB2312" w:cs="Times New Roman"/>
                <w:sz w:val="19"/>
                <w:szCs w:val="19"/>
                <w:lang w:bidi="ar-SA"/>
              </w:rPr>
            </w:pPr>
          </w:p>
          <w:p>
            <w:pPr>
              <w:widowControl/>
              <w:rPr>
                <w:rFonts w:hint="eastAsia" w:ascii="Times New Roman" w:hAnsi="Times New Roman" w:eastAsia="仿宋_GB2312" w:cs="Times New Roman"/>
                <w:sz w:val="19"/>
                <w:szCs w:val="19"/>
                <w:lang w:bidi="ar-SA"/>
              </w:rPr>
            </w:pPr>
          </w:p>
          <w:p>
            <w:pPr>
              <w:widowControl/>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1</w:t>
            </w:r>
          </w:p>
          <w:p>
            <w:pPr>
              <w:widowControl/>
              <w:jc w:val="center"/>
              <w:rPr>
                <w:rFonts w:hint="eastAsia" w:ascii="Times New Roman" w:hAnsi="Times New Roman" w:eastAsia="仿宋_GB2312" w:cs="Times New Roman"/>
                <w:sz w:val="19"/>
                <w:szCs w:val="19"/>
                <w:lang w:bidi="ar-SA"/>
              </w:rPr>
            </w:pPr>
          </w:p>
          <w:p>
            <w:pPr>
              <w:widowControl/>
              <w:spacing w:after="180"/>
              <w:jc w:val="center"/>
              <w:rPr>
                <w:rFonts w:hint="eastAsia" w:ascii="Times New Roman" w:hAnsi="Times New Roman" w:eastAsia="仿宋_GB2312" w:cs="Times New Roman"/>
                <w:sz w:val="19"/>
                <w:szCs w:val="19"/>
                <w:lang w:bidi="ar-SA"/>
              </w:rPr>
            </w:pPr>
          </w:p>
        </w:tc>
        <w:tc>
          <w:tcPr>
            <w:tcW w:w="825" w:type="dxa"/>
            <w:tcBorders>
              <w:top w:val="single" w:color="000000" w:sz="6" w:space="0"/>
              <w:left w:val="single" w:color="000000" w:sz="6" w:space="0"/>
              <w:bottom w:val="single" w:color="000000" w:sz="6" w:space="0"/>
              <w:right w:val="nil"/>
            </w:tcBorders>
            <w:tcMar>
              <w:left w:w="28" w:type="dxa"/>
              <w:right w:w="28" w:type="dxa"/>
            </w:tcMar>
            <w:vAlign w:val="center"/>
          </w:tcPr>
          <w:p>
            <w:pPr>
              <w:widowControl/>
              <w:jc w:val="center"/>
              <w:rPr>
                <w:rFonts w:ascii="Times New Roman" w:hAnsi="Times New Roman" w:eastAsia="仿宋_GB2312" w:cs="宋体"/>
                <w:sz w:val="24"/>
                <w:lang w:bidi="ar-SA"/>
              </w:rPr>
            </w:pPr>
            <w:r>
              <w:rPr>
                <w:rFonts w:hint="eastAsia" w:ascii="Times New Roman" w:hAnsi="Times New Roman" w:eastAsia="仿宋_GB2312" w:cs="宋体"/>
                <w:sz w:val="24"/>
                <w:lang w:bidi="ar-SA"/>
              </w:rPr>
              <w:t>行政</w:t>
            </w:r>
          </w:p>
          <w:p>
            <w:pPr>
              <w:widowControl/>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许可</w:t>
            </w:r>
          </w:p>
        </w:tc>
        <w:tc>
          <w:tcPr>
            <w:tcW w:w="1170" w:type="dxa"/>
            <w:tcBorders>
              <w:top w:val="single" w:color="000000" w:sz="6" w:space="0"/>
              <w:left w:val="single" w:color="000000" w:sz="6" w:space="0"/>
              <w:bottom w:val="single" w:color="000000" w:sz="6" w:space="0"/>
              <w:right w:val="nil"/>
            </w:tcBorders>
            <w:tcMar>
              <w:left w:w="28" w:type="dxa"/>
              <w:right w:w="28" w:type="dxa"/>
            </w:tcMar>
            <w:vAlign w:val="center"/>
          </w:tcPr>
          <w:p>
            <w:pPr>
              <w:widowControl/>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出版物零售单位和个体工商户设立、变更审批</w:t>
            </w:r>
          </w:p>
        </w:tc>
        <w:tc>
          <w:tcPr>
            <w:tcW w:w="1849" w:type="dxa"/>
            <w:tcBorders>
              <w:top w:val="single" w:color="000000" w:sz="6" w:space="0"/>
              <w:left w:val="single" w:color="000000" w:sz="6" w:space="0"/>
              <w:bottom w:val="single" w:color="000000" w:sz="6" w:space="0"/>
              <w:right w:val="nil"/>
            </w:tcBorders>
            <w:tcMar>
              <w:left w:w="28" w:type="dxa"/>
              <w:right w:w="28" w:type="dxa"/>
            </w:tcMar>
            <w:vAlign w:val="center"/>
          </w:tcPr>
          <w:p>
            <w:pPr>
              <w:widowControl/>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1.办事指南：主要包括适用范围、受理机构、事项名称、设定依据、申请条件、办理材料、办理地点、办理时间、联系电话、办理流程、办理期限、申请行政许可需要提交的全部材料目录及办理情况、结果送达、收费依据及标准、监督投诉渠道等；</w:t>
            </w:r>
          </w:p>
          <w:p>
            <w:pPr>
              <w:widowControl/>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2.行政许可决定。</w:t>
            </w:r>
          </w:p>
        </w:tc>
        <w:tc>
          <w:tcPr>
            <w:tcW w:w="2545" w:type="dxa"/>
            <w:tcBorders>
              <w:top w:val="single" w:color="000000" w:sz="6" w:space="0"/>
              <w:left w:val="single" w:color="000000" w:sz="6" w:space="0"/>
              <w:bottom w:val="single" w:color="000000" w:sz="6" w:space="0"/>
              <w:right w:val="nil"/>
            </w:tcBorders>
            <w:tcMar>
              <w:left w:w="28" w:type="dxa"/>
              <w:right w:w="28" w:type="dxa"/>
            </w:tcMar>
            <w:vAlign w:val="center"/>
          </w:tcPr>
          <w:p>
            <w:pPr>
              <w:widowControl/>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1.《中华人民共和国行政许可法》；</w:t>
            </w:r>
          </w:p>
          <w:p>
            <w:pPr>
              <w:widowControl/>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2.《中华人民共和国政府信息公开条例》；</w:t>
            </w:r>
          </w:p>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3.《出版管理条例》；</w:t>
            </w:r>
          </w:p>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4.《出版物市场管理规定》；</w:t>
            </w:r>
          </w:p>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5.《关于全面推进政务公开工作的意见》</w:t>
            </w:r>
            <w:r>
              <w:rPr>
                <w:rFonts w:ascii="Times New Roman" w:hAnsi="Times New Roman" w:eastAsia="仿宋_GB2312" w:cs="宋体"/>
                <w:sz w:val="24"/>
                <w:lang w:bidi="ar-SA"/>
              </w:rPr>
              <w:t>。</w:t>
            </w:r>
          </w:p>
        </w:tc>
        <w:tc>
          <w:tcPr>
            <w:tcW w:w="1140" w:type="dxa"/>
            <w:tcBorders>
              <w:top w:val="single" w:color="000000" w:sz="6" w:space="0"/>
              <w:left w:val="single" w:color="000000" w:sz="6" w:space="0"/>
              <w:bottom w:val="single" w:color="000000" w:sz="6" w:space="0"/>
              <w:right w:val="nil"/>
            </w:tcBorders>
            <w:tcMar>
              <w:left w:w="28" w:type="dxa"/>
              <w:right w:w="28" w:type="dxa"/>
            </w:tcMar>
            <w:vAlign w:val="center"/>
          </w:tcPr>
          <w:p>
            <w:pPr>
              <w:widowControl/>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信息形成或变更之日起20个工作日内公开</w:t>
            </w:r>
          </w:p>
        </w:tc>
        <w:tc>
          <w:tcPr>
            <w:tcW w:w="980" w:type="dxa"/>
            <w:tcBorders>
              <w:top w:val="single" w:color="000000" w:sz="6" w:space="0"/>
              <w:left w:val="single" w:color="000000" w:sz="6" w:space="0"/>
              <w:bottom w:val="single" w:color="000000" w:sz="6" w:space="0"/>
              <w:right w:val="nil"/>
            </w:tcBorders>
            <w:tcMar>
              <w:left w:w="28" w:type="dxa"/>
              <w:right w:w="28" w:type="dxa"/>
            </w:tcMar>
            <w:vAlign w:val="center"/>
          </w:tcPr>
          <w:p>
            <w:pPr>
              <w:widowControl/>
              <w:rPr>
                <w:rFonts w:hint="eastAsia" w:ascii="Times New Roman" w:hAnsi="Times New Roman" w:eastAsia="仿宋_GB2312" w:cs="Times New Roman"/>
                <w:sz w:val="19"/>
                <w:szCs w:val="19"/>
                <w:lang w:eastAsia="zh-CN" w:bidi="ar-SA"/>
              </w:rPr>
            </w:pPr>
            <w:r>
              <w:rPr>
                <w:rFonts w:hint="eastAsia" w:ascii="Times New Roman" w:hAnsi="Times New Roman" w:eastAsia="仿宋_GB2312" w:cs="宋体"/>
                <w:sz w:val="24"/>
                <w:lang w:eastAsia="zh-CN" w:bidi="ar-SA"/>
              </w:rPr>
              <w:t>济源市新闻出版电影局</w:t>
            </w:r>
          </w:p>
        </w:tc>
        <w:tc>
          <w:tcPr>
            <w:tcW w:w="1795" w:type="dxa"/>
            <w:tcBorders>
              <w:top w:val="single" w:color="000000" w:sz="6" w:space="0"/>
              <w:left w:val="single" w:color="000000" w:sz="6" w:space="0"/>
              <w:bottom w:val="single" w:color="000000" w:sz="6" w:space="0"/>
              <w:right w:val="nil"/>
            </w:tcBorders>
            <w:tcMar>
              <w:left w:w="115" w:type="dxa"/>
            </w:tcMar>
            <w:vAlign w:val="center"/>
          </w:tcPr>
          <w:p>
            <w:pPr>
              <w:widowControl/>
              <w:spacing w:line="300" w:lineRule="exact"/>
              <w:jc w:val="left"/>
              <w:rPr>
                <w:rFonts w:hint="eastAsia" w:ascii="Times New Roman" w:hAnsi="Times New Roman" w:eastAsia="仿宋_GB2312" w:cs="Times New Roman"/>
                <w:color w:val="auto"/>
                <w:kern w:val="0"/>
                <w:sz w:val="24"/>
                <w:szCs w:val="24"/>
                <w:shd w:val="clear" w:color="auto" w:fill="FFFFFF"/>
                <w:lang w:bidi="ar-SA"/>
              </w:rPr>
            </w:pPr>
            <w:r>
              <w:rPr>
                <w:rFonts w:hint="eastAsia" w:ascii="Times New Roman" w:hAnsi="Times New Roman" w:eastAsia="仿宋_GB2312" w:cs="Times New Roman"/>
                <w:color w:val="auto"/>
                <w:kern w:val="0"/>
                <w:sz w:val="24"/>
                <w:szCs w:val="24"/>
                <w:shd w:val="clear" w:color="auto" w:fill="FFFFFF"/>
                <w:lang w:val="en-US" w:eastAsia="zh-CN" w:bidi="ar-SA"/>
              </w:rPr>
              <w:t>1</w:t>
            </w:r>
            <w:r>
              <w:rPr>
                <w:rFonts w:ascii="Times New Roman" w:hAnsi="Times New Roman" w:eastAsia="仿宋_GB2312" w:cs="Times New Roman"/>
                <w:color w:val="auto"/>
                <w:kern w:val="0"/>
                <w:sz w:val="24"/>
                <w:szCs w:val="24"/>
                <w:shd w:val="clear" w:color="auto" w:fill="FFFFFF"/>
                <w:lang w:bidi="ar-SA"/>
              </w:rPr>
              <w:t>.</w:t>
            </w:r>
            <w:r>
              <w:rPr>
                <w:rFonts w:hint="eastAsia" w:ascii="Times New Roman" w:hAnsi="Times New Roman" w:eastAsia="仿宋_GB2312" w:cs="Times New Roman"/>
                <w:color w:val="auto"/>
                <w:kern w:val="0"/>
                <w:sz w:val="24"/>
                <w:szCs w:val="24"/>
                <w:shd w:val="clear" w:color="auto" w:fill="FFFFFF"/>
                <w:lang w:bidi="ar-SA"/>
              </w:rPr>
              <w:t xml:space="preserve">公开查阅点     </w:t>
            </w:r>
          </w:p>
          <w:p>
            <w:pPr>
              <w:widowControl/>
              <w:spacing w:line="300" w:lineRule="exact"/>
              <w:jc w:val="left"/>
              <w:rPr>
                <w:rFonts w:hint="eastAsia" w:ascii="Times New Roman" w:hAnsi="Times New Roman" w:eastAsia="仿宋_GB2312" w:cs="Times New Roman"/>
                <w:color w:val="auto"/>
                <w:kern w:val="0"/>
                <w:sz w:val="24"/>
                <w:szCs w:val="24"/>
                <w:shd w:val="clear" w:color="auto" w:fill="FFFFFF"/>
                <w:lang w:bidi="ar-SA"/>
              </w:rPr>
            </w:pPr>
            <w:r>
              <w:rPr>
                <w:rFonts w:hint="eastAsia" w:ascii="Times New Roman" w:hAnsi="Times New Roman" w:eastAsia="仿宋_GB2312" w:cs="Times New Roman"/>
                <w:color w:val="auto"/>
                <w:kern w:val="0"/>
                <w:sz w:val="24"/>
                <w:szCs w:val="24"/>
                <w:shd w:val="clear" w:color="auto" w:fill="FFFFFF"/>
                <w:lang w:val="en-US" w:eastAsia="zh-CN" w:bidi="ar-SA"/>
              </w:rPr>
              <w:t>2</w:t>
            </w:r>
            <w:r>
              <w:rPr>
                <w:rFonts w:ascii="Times New Roman" w:hAnsi="Times New Roman" w:eastAsia="仿宋_GB2312" w:cs="Times New Roman"/>
                <w:color w:val="auto"/>
                <w:kern w:val="0"/>
                <w:sz w:val="24"/>
                <w:szCs w:val="24"/>
                <w:shd w:val="clear" w:color="auto" w:fill="FFFFFF"/>
                <w:lang w:bidi="ar-SA"/>
              </w:rPr>
              <w:t>.</w:t>
            </w:r>
            <w:r>
              <w:rPr>
                <w:rFonts w:hint="eastAsia" w:ascii="Times New Roman" w:hAnsi="Times New Roman" w:eastAsia="仿宋_GB2312" w:cs="Times New Roman"/>
                <w:color w:val="auto"/>
                <w:kern w:val="0"/>
                <w:sz w:val="24"/>
                <w:szCs w:val="24"/>
                <w:shd w:val="clear" w:color="auto" w:fill="FFFFFF"/>
                <w:lang w:bidi="ar-SA"/>
              </w:rPr>
              <w:t xml:space="preserve">政务服务中心   </w:t>
            </w:r>
          </w:p>
          <w:p>
            <w:pPr>
              <w:widowControl/>
              <w:spacing w:line="300" w:lineRule="exact"/>
              <w:jc w:val="left"/>
              <w:rPr>
                <w:rFonts w:hint="eastAsia" w:ascii="Times New Roman" w:hAnsi="Times New Roman" w:eastAsia="仿宋_GB2312" w:cs="Times New Roman"/>
                <w:kern w:val="0"/>
                <w:sz w:val="16"/>
                <w:szCs w:val="15"/>
                <w:shd w:val="clear" w:color="auto" w:fill="FFFFFF"/>
                <w:lang w:bidi="ar-SA"/>
              </w:rPr>
            </w:pPr>
            <w:r>
              <w:rPr>
                <w:rFonts w:hint="eastAsia" w:ascii="Times New Roman" w:hAnsi="Times New Roman" w:eastAsia="仿宋_GB2312" w:cs="Times New Roman"/>
                <w:color w:val="auto"/>
                <w:kern w:val="0"/>
                <w:sz w:val="24"/>
                <w:szCs w:val="24"/>
                <w:shd w:val="clear" w:color="auto" w:fill="FFFFFF"/>
                <w:lang w:bidi="ar-SA"/>
              </w:rPr>
              <w:t xml:space="preserve"> </w:t>
            </w:r>
            <w:r>
              <w:rPr>
                <w:rFonts w:hint="eastAsia" w:ascii="Times New Roman" w:hAnsi="Times New Roman" w:eastAsia="仿宋_GB2312" w:cs="Times New Roman"/>
                <w:color w:val="FF0000"/>
                <w:kern w:val="0"/>
                <w:sz w:val="24"/>
                <w:szCs w:val="24"/>
                <w:shd w:val="clear" w:color="auto" w:fill="FFFFFF"/>
                <w:lang w:bidi="ar-SA"/>
              </w:rPr>
              <w:t xml:space="preserve">  </w:t>
            </w:r>
            <w:r>
              <w:rPr>
                <w:rFonts w:hint="eastAsia" w:ascii="Times New Roman" w:hAnsi="Times New Roman" w:eastAsia="仿宋_GB2312" w:cs="Times New Roman"/>
                <w:kern w:val="0"/>
                <w:sz w:val="16"/>
                <w:szCs w:val="15"/>
                <w:shd w:val="clear" w:color="auto" w:fill="FFFFFF"/>
                <w:lang w:bidi="ar-SA"/>
              </w:rPr>
              <w:t xml:space="preserve">  </w:t>
            </w:r>
          </w:p>
          <w:p>
            <w:pPr>
              <w:widowControl/>
              <w:spacing w:line="300" w:lineRule="exact"/>
              <w:jc w:val="left"/>
              <w:rPr>
                <w:rFonts w:hint="eastAsia" w:ascii="Times New Roman" w:hAnsi="Times New Roman" w:eastAsia="仿宋_GB2312" w:cs="Times New Roman"/>
                <w:sz w:val="19"/>
                <w:szCs w:val="19"/>
                <w:lang w:bidi="ar-SA"/>
              </w:rPr>
            </w:pPr>
          </w:p>
        </w:tc>
        <w:tc>
          <w:tcPr>
            <w:tcW w:w="435" w:type="dxa"/>
            <w:tcBorders>
              <w:top w:val="single" w:color="000000" w:sz="6" w:space="0"/>
              <w:left w:val="single" w:color="000000" w:sz="6" w:space="0"/>
              <w:bottom w:val="single" w:color="000000" w:sz="6" w:space="0"/>
              <w:right w:val="nil"/>
            </w:tcBorders>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w:t>
            </w:r>
          </w:p>
        </w:tc>
        <w:tc>
          <w:tcPr>
            <w:tcW w:w="705" w:type="dxa"/>
            <w:tcBorders>
              <w:top w:val="single" w:color="000000" w:sz="6" w:space="0"/>
              <w:left w:val="single" w:color="000000" w:sz="6" w:space="0"/>
              <w:bottom w:val="single" w:color="000000" w:sz="6" w:space="0"/>
              <w:right w:val="nil"/>
            </w:tcBorders>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p>
        </w:tc>
        <w:tc>
          <w:tcPr>
            <w:tcW w:w="465" w:type="dxa"/>
            <w:tcBorders>
              <w:top w:val="single" w:color="000000" w:sz="6" w:space="0"/>
              <w:left w:val="single" w:color="000000" w:sz="6" w:space="0"/>
              <w:bottom w:val="single" w:color="000000" w:sz="6" w:space="0"/>
              <w:right w:val="nil"/>
            </w:tcBorders>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w:t>
            </w:r>
          </w:p>
        </w:tc>
        <w:tc>
          <w:tcPr>
            <w:tcW w:w="840" w:type="dxa"/>
            <w:tcBorders>
              <w:top w:val="single" w:color="000000" w:sz="6" w:space="0"/>
              <w:left w:val="single" w:color="000000" w:sz="6" w:space="0"/>
              <w:bottom w:val="single" w:color="000000" w:sz="6" w:space="0"/>
              <w:right w:val="nil"/>
            </w:tcBorders>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p>
        </w:tc>
        <w:tc>
          <w:tcPr>
            <w:tcW w:w="480" w:type="dxa"/>
            <w:tcBorders>
              <w:top w:val="single" w:color="000000" w:sz="6" w:space="0"/>
              <w:left w:val="single" w:color="000000" w:sz="6" w:space="0"/>
              <w:bottom w:val="single" w:color="000000" w:sz="6" w:space="0"/>
              <w:right w:val="nil"/>
            </w:tcBorders>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w:t>
            </w:r>
          </w:p>
        </w:tc>
        <w:tc>
          <w:tcPr>
            <w:tcW w:w="484" w:type="dxa"/>
            <w:tcBorders>
              <w:top w:val="single" w:color="000000" w:sz="6" w:space="0"/>
              <w:left w:val="single" w:color="000000" w:sz="6" w:space="0"/>
              <w:bottom w:val="single" w:color="000000" w:sz="6" w:space="0"/>
              <w:right w:val="single" w:color="000000" w:sz="6" w:space="0"/>
            </w:tcBorders>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p>
        </w:tc>
      </w:tr>
      <w:tr>
        <w:trPr>
          <w:trHeight w:val="2566" w:hRule="atLeast"/>
          <w:jc w:val="center"/>
        </w:trPr>
        <w:tc>
          <w:tcPr>
            <w:tcW w:w="675" w:type="dxa"/>
            <w:tcBorders>
              <w:top w:val="single" w:color="000000" w:sz="6" w:space="0"/>
              <w:left w:val="single" w:color="000000" w:sz="6" w:space="0"/>
              <w:bottom w:val="single" w:color="000000" w:sz="6" w:space="0"/>
              <w:right w:val="nil"/>
            </w:tcBorders>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2</w:t>
            </w:r>
          </w:p>
        </w:tc>
        <w:tc>
          <w:tcPr>
            <w:tcW w:w="825" w:type="dxa"/>
            <w:tcBorders>
              <w:top w:val="single" w:color="000000" w:sz="6" w:space="0"/>
              <w:left w:val="single" w:color="000000" w:sz="6" w:space="0"/>
              <w:bottom w:val="single" w:color="000000" w:sz="6" w:space="0"/>
              <w:right w:val="nil"/>
            </w:tcBorders>
            <w:tcMar>
              <w:left w:w="28" w:type="dxa"/>
              <w:right w:w="28" w:type="dxa"/>
            </w:tcMar>
            <w:vAlign w:val="center"/>
          </w:tcPr>
          <w:p>
            <w:pPr>
              <w:widowControl/>
              <w:jc w:val="center"/>
              <w:rPr>
                <w:rFonts w:ascii="Times New Roman" w:hAnsi="Times New Roman" w:eastAsia="仿宋_GB2312" w:cs="宋体"/>
                <w:sz w:val="24"/>
                <w:lang w:bidi="ar-SA"/>
              </w:rPr>
            </w:pPr>
            <w:r>
              <w:rPr>
                <w:rFonts w:hint="eastAsia" w:ascii="Times New Roman" w:hAnsi="Times New Roman" w:eastAsia="仿宋_GB2312" w:cs="宋体"/>
                <w:sz w:val="24"/>
                <w:lang w:bidi="ar-SA"/>
              </w:rPr>
              <w:t>行政</w:t>
            </w:r>
          </w:p>
          <w:p>
            <w:pPr>
              <w:widowControl/>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许可</w:t>
            </w:r>
          </w:p>
        </w:tc>
        <w:tc>
          <w:tcPr>
            <w:tcW w:w="1170" w:type="dxa"/>
            <w:tcBorders>
              <w:top w:val="single" w:color="000000" w:sz="6" w:space="0"/>
              <w:left w:val="single" w:color="000000" w:sz="6" w:space="0"/>
              <w:bottom w:val="single" w:color="000000" w:sz="6" w:space="0"/>
              <w:right w:val="nil"/>
            </w:tcBorders>
            <w:tcMar>
              <w:left w:w="28" w:type="dxa"/>
              <w:right w:w="28" w:type="dxa"/>
            </w:tcMar>
            <w:vAlign w:val="center"/>
          </w:tcPr>
          <w:p>
            <w:pPr>
              <w:widowControl/>
              <w:rPr>
                <w:rFonts w:hint="eastAsia" w:ascii="Times New Roman" w:hAnsi="Times New Roman" w:eastAsia="仿宋_GB2312" w:cs="Times New Roman"/>
                <w:sz w:val="19"/>
                <w:szCs w:val="19"/>
                <w:lang w:bidi="ar-SA"/>
              </w:rPr>
            </w:pPr>
            <w:r>
              <w:rPr>
                <w:rFonts w:hint="eastAsia" w:ascii="Times New Roman" w:hAnsi="Times New Roman" w:eastAsia="仿宋_GB2312" w:cs="Times New Roman"/>
                <w:sz w:val="24"/>
                <w:szCs w:val="24"/>
                <w:lang w:bidi="ar-SA"/>
              </w:rPr>
              <w:t>从事出版物、包装装潢印刷品和其他印刷品印刷经营活动企业的设立、变更审批</w:t>
            </w:r>
          </w:p>
        </w:tc>
        <w:tc>
          <w:tcPr>
            <w:tcW w:w="1849" w:type="dxa"/>
            <w:tcBorders>
              <w:top w:val="single" w:color="000000" w:sz="6" w:space="0"/>
              <w:left w:val="single" w:color="000000" w:sz="6" w:space="0"/>
              <w:bottom w:val="single" w:color="000000" w:sz="6" w:space="0"/>
              <w:right w:val="nil"/>
            </w:tcBorders>
            <w:tcMar>
              <w:left w:w="28" w:type="dxa"/>
              <w:right w:w="28" w:type="dxa"/>
            </w:tcMar>
            <w:vAlign w:val="center"/>
          </w:tcPr>
          <w:p>
            <w:pPr>
              <w:widowControl/>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1.办事指南：主要包括适用范围、受理机构、事项名称、设定依据、申请条件、办理材料、办理地点、办理时间、联系电话、办理流程、办理期限、申请行政许可需要提交的全部材料目录及办理情况、结果送达、收费依据及标准、监督投诉渠道等；</w:t>
            </w:r>
          </w:p>
          <w:p>
            <w:pPr>
              <w:widowControl/>
              <w:rPr>
                <w:rFonts w:hint="eastAsia" w:ascii="Times New Roman" w:hAnsi="Times New Roman" w:eastAsia="仿宋_GB2312" w:cs="Times New Roman"/>
                <w:sz w:val="19"/>
                <w:szCs w:val="19"/>
                <w:lang w:eastAsia="zh-CN" w:bidi="ar-SA"/>
              </w:rPr>
            </w:pPr>
            <w:r>
              <w:rPr>
                <w:rFonts w:hint="eastAsia" w:ascii="Times New Roman" w:hAnsi="Times New Roman" w:eastAsia="仿宋_GB2312" w:cs="宋体"/>
                <w:sz w:val="24"/>
                <w:lang w:bidi="ar-SA"/>
              </w:rPr>
              <w:t>2.行政许可决定</w:t>
            </w:r>
            <w:r>
              <w:rPr>
                <w:rFonts w:hint="eastAsia" w:ascii="Times New Roman" w:hAnsi="Times New Roman" w:eastAsia="仿宋_GB2312" w:cs="宋体"/>
                <w:sz w:val="24"/>
                <w:lang w:eastAsia="zh-CN" w:bidi="ar-SA"/>
              </w:rPr>
              <w:t>。</w:t>
            </w:r>
          </w:p>
        </w:tc>
        <w:tc>
          <w:tcPr>
            <w:tcW w:w="2545" w:type="dxa"/>
            <w:tcBorders>
              <w:top w:val="single" w:color="000000" w:sz="6" w:space="0"/>
              <w:left w:val="single" w:color="000000" w:sz="6" w:space="0"/>
              <w:bottom w:val="single" w:color="000000" w:sz="6" w:space="0"/>
              <w:right w:val="nil"/>
            </w:tcBorders>
            <w:tcMar>
              <w:left w:w="28" w:type="dxa"/>
              <w:right w:w="28" w:type="dxa"/>
            </w:tcMar>
            <w:vAlign w:val="center"/>
          </w:tcPr>
          <w:p>
            <w:pPr>
              <w:widowControl/>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1.《中华人民共和国行政许可法》；</w:t>
            </w:r>
          </w:p>
          <w:p>
            <w:pPr>
              <w:widowControl/>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2.《中华人民共和国政府信息公开条例》；</w:t>
            </w:r>
          </w:p>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3.《</w:t>
            </w:r>
            <w:r>
              <w:rPr>
                <w:rFonts w:hint="eastAsia" w:ascii="Times New Roman" w:hAnsi="Times New Roman" w:eastAsia="仿宋_GB2312" w:cs="宋体"/>
                <w:sz w:val="24"/>
                <w:lang w:eastAsia="zh-CN" w:bidi="ar-SA"/>
              </w:rPr>
              <w:t>印刷业</w:t>
            </w:r>
            <w:r>
              <w:rPr>
                <w:rFonts w:hint="eastAsia" w:ascii="Times New Roman" w:hAnsi="Times New Roman" w:eastAsia="仿宋_GB2312" w:cs="宋体"/>
                <w:sz w:val="24"/>
                <w:lang w:bidi="ar-SA"/>
              </w:rPr>
              <w:t>管理条例》；</w:t>
            </w:r>
          </w:p>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val="en-US" w:eastAsia="zh-CN" w:bidi="ar-SA"/>
              </w:rPr>
              <w:t>4</w:t>
            </w:r>
            <w:r>
              <w:rPr>
                <w:rFonts w:hint="eastAsia" w:ascii="Times New Roman" w:hAnsi="Times New Roman" w:eastAsia="仿宋_GB2312" w:cs="宋体"/>
                <w:sz w:val="24"/>
                <w:lang w:bidi="ar-SA"/>
              </w:rPr>
              <w:t>.《关于全面推进政务公开工作的意见》</w:t>
            </w:r>
            <w:r>
              <w:rPr>
                <w:rFonts w:ascii="Times New Roman" w:hAnsi="Times New Roman" w:eastAsia="仿宋_GB2312" w:cs="宋体"/>
                <w:sz w:val="24"/>
                <w:lang w:bidi="ar-SA"/>
              </w:rPr>
              <w:t>。</w:t>
            </w:r>
          </w:p>
        </w:tc>
        <w:tc>
          <w:tcPr>
            <w:tcW w:w="1140" w:type="dxa"/>
            <w:tcBorders>
              <w:top w:val="single" w:color="000000" w:sz="6" w:space="0"/>
              <w:left w:val="single" w:color="000000" w:sz="6" w:space="0"/>
              <w:bottom w:val="single" w:color="000000" w:sz="6" w:space="0"/>
              <w:right w:val="nil"/>
            </w:tcBorders>
            <w:tcMar>
              <w:left w:w="28" w:type="dxa"/>
              <w:right w:w="28" w:type="dxa"/>
            </w:tcMar>
            <w:vAlign w:val="center"/>
          </w:tcPr>
          <w:p>
            <w:pPr>
              <w:widowControl/>
              <w:rPr>
                <w:rFonts w:hint="eastAsia" w:ascii="Times New Roman" w:hAnsi="Times New Roman" w:eastAsia="仿宋_GB2312" w:cs="Times New Roman"/>
                <w:kern w:val="2"/>
                <w:sz w:val="19"/>
                <w:szCs w:val="19"/>
                <w:lang w:val="en-US" w:eastAsia="zh-CN" w:bidi="ar-SA"/>
              </w:rPr>
            </w:pPr>
            <w:r>
              <w:rPr>
                <w:rFonts w:hint="eastAsia" w:ascii="Times New Roman" w:hAnsi="Times New Roman" w:eastAsia="仿宋_GB2312" w:cs="宋体"/>
                <w:sz w:val="24"/>
                <w:lang w:bidi="ar-SA"/>
              </w:rPr>
              <w:t>信息形成或变更之日起20个工作日内公开</w:t>
            </w:r>
          </w:p>
        </w:tc>
        <w:tc>
          <w:tcPr>
            <w:tcW w:w="980" w:type="dxa"/>
            <w:tcBorders>
              <w:top w:val="single" w:color="000000" w:sz="6" w:space="0"/>
              <w:left w:val="single" w:color="000000" w:sz="6" w:space="0"/>
              <w:bottom w:val="single" w:color="000000" w:sz="6" w:space="0"/>
              <w:right w:val="nil"/>
            </w:tcBorders>
            <w:tcMar>
              <w:left w:w="28" w:type="dxa"/>
              <w:right w:w="28" w:type="dxa"/>
            </w:tcMar>
            <w:vAlign w:val="center"/>
          </w:tcPr>
          <w:p>
            <w:pPr>
              <w:widowControl/>
              <w:rPr>
                <w:rFonts w:hint="eastAsia" w:ascii="Times New Roman" w:hAnsi="Times New Roman" w:eastAsia="仿宋_GB2312" w:cs="Times New Roman"/>
                <w:kern w:val="2"/>
                <w:sz w:val="19"/>
                <w:szCs w:val="19"/>
                <w:lang w:val="en-US" w:eastAsia="zh-CN" w:bidi="ar-SA"/>
              </w:rPr>
            </w:pPr>
            <w:r>
              <w:rPr>
                <w:rFonts w:hint="eastAsia" w:ascii="Times New Roman" w:hAnsi="Times New Roman" w:eastAsia="仿宋_GB2312" w:cs="宋体"/>
                <w:sz w:val="24"/>
                <w:lang w:eastAsia="zh-CN" w:bidi="ar-SA"/>
              </w:rPr>
              <w:t>济源市新闻出版电影局</w:t>
            </w:r>
          </w:p>
        </w:tc>
        <w:tc>
          <w:tcPr>
            <w:tcW w:w="1795" w:type="dxa"/>
            <w:tcBorders>
              <w:top w:val="single" w:color="000000" w:sz="6" w:space="0"/>
              <w:left w:val="single" w:color="000000" w:sz="6" w:space="0"/>
              <w:bottom w:val="single" w:color="000000" w:sz="6" w:space="0"/>
              <w:right w:val="nil"/>
            </w:tcBorders>
            <w:tcMar>
              <w:left w:w="115" w:type="dxa"/>
            </w:tcMar>
            <w:vAlign w:val="center"/>
          </w:tcPr>
          <w:p>
            <w:pPr>
              <w:widowControl/>
              <w:spacing w:line="300" w:lineRule="exact"/>
              <w:jc w:val="left"/>
              <w:rPr>
                <w:rFonts w:hint="eastAsia" w:ascii="Times New Roman" w:hAnsi="Times New Roman" w:eastAsia="仿宋_GB2312" w:cs="Times New Roman"/>
                <w:color w:val="auto"/>
                <w:kern w:val="0"/>
                <w:sz w:val="24"/>
                <w:szCs w:val="24"/>
                <w:shd w:val="clear" w:color="auto" w:fill="FFFFFF"/>
                <w:lang w:bidi="ar-SA"/>
              </w:rPr>
            </w:pPr>
            <w:r>
              <w:rPr>
                <w:rFonts w:hint="eastAsia" w:ascii="Times New Roman" w:hAnsi="Times New Roman" w:eastAsia="仿宋_GB2312" w:cs="Times New Roman"/>
                <w:color w:val="auto"/>
                <w:kern w:val="0"/>
                <w:sz w:val="24"/>
                <w:szCs w:val="24"/>
                <w:shd w:val="clear" w:color="auto" w:fill="FFFFFF"/>
                <w:lang w:val="en-US" w:eastAsia="zh-CN" w:bidi="ar-SA"/>
              </w:rPr>
              <w:t>1</w:t>
            </w:r>
            <w:r>
              <w:rPr>
                <w:rFonts w:ascii="Times New Roman" w:hAnsi="Times New Roman" w:eastAsia="仿宋_GB2312" w:cs="Times New Roman"/>
                <w:color w:val="auto"/>
                <w:kern w:val="0"/>
                <w:sz w:val="24"/>
                <w:szCs w:val="24"/>
                <w:shd w:val="clear" w:color="auto" w:fill="FFFFFF"/>
                <w:lang w:bidi="ar-SA"/>
              </w:rPr>
              <w:t>.</w:t>
            </w:r>
            <w:r>
              <w:rPr>
                <w:rFonts w:hint="eastAsia" w:ascii="Times New Roman" w:hAnsi="Times New Roman" w:eastAsia="仿宋_GB2312" w:cs="Times New Roman"/>
                <w:color w:val="auto"/>
                <w:kern w:val="0"/>
                <w:sz w:val="24"/>
                <w:szCs w:val="24"/>
                <w:shd w:val="clear" w:color="auto" w:fill="FFFFFF"/>
                <w:lang w:bidi="ar-SA"/>
              </w:rPr>
              <w:t xml:space="preserve">公开查阅点     </w:t>
            </w:r>
          </w:p>
          <w:p>
            <w:pPr>
              <w:widowControl/>
              <w:spacing w:line="300" w:lineRule="exact"/>
              <w:jc w:val="left"/>
              <w:rPr>
                <w:rFonts w:hint="eastAsia" w:ascii="Times New Roman" w:hAnsi="Times New Roman" w:eastAsia="仿宋_GB2312" w:cs="Times New Roman"/>
                <w:color w:val="auto"/>
                <w:kern w:val="0"/>
                <w:sz w:val="24"/>
                <w:szCs w:val="24"/>
                <w:shd w:val="clear" w:color="auto" w:fill="FFFFFF"/>
                <w:lang w:bidi="ar-SA"/>
              </w:rPr>
            </w:pPr>
            <w:r>
              <w:rPr>
                <w:rFonts w:hint="eastAsia" w:ascii="Times New Roman" w:hAnsi="Times New Roman" w:eastAsia="仿宋_GB2312" w:cs="Times New Roman"/>
                <w:color w:val="auto"/>
                <w:kern w:val="0"/>
                <w:sz w:val="24"/>
                <w:szCs w:val="24"/>
                <w:shd w:val="clear" w:color="auto" w:fill="FFFFFF"/>
                <w:lang w:val="en-US" w:eastAsia="zh-CN" w:bidi="ar-SA"/>
              </w:rPr>
              <w:t>2</w:t>
            </w:r>
            <w:r>
              <w:rPr>
                <w:rFonts w:ascii="Times New Roman" w:hAnsi="Times New Roman" w:eastAsia="仿宋_GB2312" w:cs="Times New Roman"/>
                <w:color w:val="auto"/>
                <w:kern w:val="0"/>
                <w:sz w:val="24"/>
                <w:szCs w:val="24"/>
                <w:shd w:val="clear" w:color="auto" w:fill="FFFFFF"/>
                <w:lang w:bidi="ar-SA"/>
              </w:rPr>
              <w:t>.</w:t>
            </w:r>
            <w:r>
              <w:rPr>
                <w:rFonts w:hint="eastAsia" w:ascii="Times New Roman" w:hAnsi="Times New Roman" w:eastAsia="仿宋_GB2312" w:cs="Times New Roman"/>
                <w:color w:val="auto"/>
                <w:kern w:val="0"/>
                <w:sz w:val="24"/>
                <w:szCs w:val="24"/>
                <w:shd w:val="clear" w:color="auto" w:fill="FFFFFF"/>
                <w:lang w:bidi="ar-SA"/>
              </w:rPr>
              <w:t xml:space="preserve">政务服务中心   </w:t>
            </w:r>
          </w:p>
          <w:p>
            <w:pPr>
              <w:widowControl/>
              <w:spacing w:line="320" w:lineRule="exact"/>
              <w:jc w:val="left"/>
              <w:rPr>
                <w:rFonts w:hint="eastAsia" w:ascii="Times New Roman" w:hAnsi="Times New Roman" w:eastAsia="仿宋_GB2312" w:cs="Times New Roman"/>
                <w:sz w:val="19"/>
                <w:szCs w:val="19"/>
                <w:lang w:bidi="ar-SA"/>
              </w:rPr>
            </w:pPr>
          </w:p>
        </w:tc>
        <w:tc>
          <w:tcPr>
            <w:tcW w:w="435" w:type="dxa"/>
            <w:tcBorders>
              <w:top w:val="single" w:color="000000" w:sz="6" w:space="0"/>
              <w:left w:val="single" w:color="000000" w:sz="6" w:space="0"/>
              <w:bottom w:val="single" w:color="000000" w:sz="6" w:space="0"/>
              <w:right w:val="nil"/>
            </w:tcBorders>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w:t>
            </w:r>
          </w:p>
        </w:tc>
        <w:tc>
          <w:tcPr>
            <w:tcW w:w="705" w:type="dxa"/>
            <w:tcBorders>
              <w:top w:val="single" w:color="000000" w:sz="6" w:space="0"/>
              <w:left w:val="single" w:color="000000" w:sz="6" w:space="0"/>
              <w:bottom w:val="single" w:color="000000" w:sz="6" w:space="0"/>
              <w:right w:val="nil"/>
            </w:tcBorders>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　</w:t>
            </w:r>
          </w:p>
        </w:tc>
        <w:tc>
          <w:tcPr>
            <w:tcW w:w="465" w:type="dxa"/>
            <w:tcBorders>
              <w:top w:val="single" w:color="000000" w:sz="6" w:space="0"/>
              <w:left w:val="single" w:color="000000" w:sz="6" w:space="0"/>
              <w:bottom w:val="single" w:color="000000" w:sz="6" w:space="0"/>
              <w:right w:val="nil"/>
            </w:tcBorders>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w:t>
            </w:r>
          </w:p>
        </w:tc>
        <w:tc>
          <w:tcPr>
            <w:tcW w:w="840" w:type="dxa"/>
            <w:tcBorders>
              <w:top w:val="single" w:color="000000" w:sz="6" w:space="0"/>
              <w:left w:val="single" w:color="000000" w:sz="6" w:space="0"/>
              <w:bottom w:val="single" w:color="000000" w:sz="6" w:space="0"/>
              <w:right w:val="nil"/>
            </w:tcBorders>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　</w:t>
            </w:r>
          </w:p>
        </w:tc>
        <w:tc>
          <w:tcPr>
            <w:tcW w:w="480" w:type="dxa"/>
            <w:tcBorders>
              <w:top w:val="single" w:color="000000" w:sz="6" w:space="0"/>
              <w:left w:val="single" w:color="000000" w:sz="6" w:space="0"/>
              <w:bottom w:val="single" w:color="000000" w:sz="6" w:space="0"/>
              <w:right w:val="nil"/>
            </w:tcBorders>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w:t>
            </w:r>
          </w:p>
        </w:tc>
        <w:tc>
          <w:tcPr>
            <w:tcW w:w="484" w:type="dxa"/>
            <w:tcBorders>
              <w:top w:val="single" w:color="000000" w:sz="6" w:space="0"/>
              <w:left w:val="single" w:color="000000" w:sz="6" w:space="0"/>
              <w:bottom w:val="single" w:color="000000" w:sz="6" w:space="0"/>
              <w:right w:val="single" w:color="000000" w:sz="6" w:space="0"/>
            </w:tcBorders>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　</w:t>
            </w:r>
          </w:p>
        </w:tc>
      </w:tr>
      <w:tr>
        <w:trPr>
          <w:trHeight w:val="2092" w:hRule="atLeast"/>
          <w:jc w:val="center"/>
        </w:trPr>
        <w:tc>
          <w:tcPr>
            <w:tcW w:w="675" w:type="dxa"/>
            <w:tcBorders>
              <w:top w:val="single" w:color="000000" w:sz="6" w:space="0"/>
              <w:left w:val="single" w:color="000000" w:sz="6" w:space="0"/>
              <w:bottom w:val="single" w:color="000000" w:sz="6" w:space="0"/>
              <w:right w:val="nil"/>
            </w:tcBorders>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3</w:t>
            </w:r>
          </w:p>
        </w:tc>
        <w:tc>
          <w:tcPr>
            <w:tcW w:w="825" w:type="dxa"/>
            <w:tcBorders>
              <w:top w:val="single" w:color="000000" w:sz="6" w:space="0"/>
              <w:left w:val="single" w:color="000000" w:sz="6" w:space="0"/>
              <w:bottom w:val="single" w:color="000000" w:sz="6" w:space="0"/>
              <w:right w:val="nil"/>
            </w:tcBorders>
            <w:tcMar>
              <w:left w:w="28" w:type="dxa"/>
              <w:right w:w="28" w:type="dxa"/>
            </w:tcMar>
            <w:vAlign w:val="center"/>
          </w:tcPr>
          <w:p>
            <w:pPr>
              <w:widowControl/>
              <w:jc w:val="center"/>
              <w:rPr>
                <w:rFonts w:ascii="Times New Roman" w:hAnsi="Times New Roman" w:eastAsia="仿宋_GB2312" w:cs="宋体"/>
                <w:sz w:val="24"/>
                <w:lang w:bidi="ar-SA"/>
              </w:rPr>
            </w:pPr>
            <w:r>
              <w:rPr>
                <w:rFonts w:hint="eastAsia" w:ascii="Times New Roman" w:hAnsi="Times New Roman" w:eastAsia="仿宋_GB2312" w:cs="宋体"/>
                <w:sz w:val="24"/>
                <w:lang w:bidi="ar-SA"/>
              </w:rPr>
              <w:t>行政</w:t>
            </w:r>
          </w:p>
          <w:p>
            <w:pPr>
              <w:widowControl/>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许可</w:t>
            </w:r>
          </w:p>
        </w:tc>
        <w:tc>
          <w:tcPr>
            <w:tcW w:w="1170" w:type="dxa"/>
            <w:tcBorders>
              <w:top w:val="single" w:color="000000" w:sz="6" w:space="0"/>
              <w:left w:val="single" w:color="000000" w:sz="6" w:space="0"/>
              <w:bottom w:val="single" w:color="000000" w:sz="6" w:space="0"/>
              <w:right w:val="nil"/>
            </w:tcBorders>
            <w:tcMar>
              <w:left w:w="28" w:type="dxa"/>
              <w:right w:w="28" w:type="dxa"/>
            </w:tcMar>
            <w:vAlign w:val="center"/>
          </w:tcPr>
          <w:p>
            <w:pPr>
              <w:widowControl/>
              <w:rPr>
                <w:rFonts w:hint="eastAsia" w:ascii="Times New Roman" w:hAnsi="Times New Roman" w:eastAsia="仿宋_GB2312" w:cs="Times New Roman"/>
                <w:sz w:val="19"/>
                <w:szCs w:val="19"/>
                <w:lang w:bidi="ar-SA"/>
              </w:rPr>
            </w:pPr>
            <w:r>
              <w:rPr>
                <w:rFonts w:hint="eastAsia" w:ascii="Times New Roman" w:hAnsi="Times New Roman" w:eastAsia="仿宋_GB2312" w:cs="Times New Roman"/>
                <w:sz w:val="24"/>
                <w:szCs w:val="24"/>
                <w:lang w:bidi="ar-SA"/>
              </w:rPr>
              <w:t>内部资料性出版物准印证核发</w:t>
            </w:r>
          </w:p>
        </w:tc>
        <w:tc>
          <w:tcPr>
            <w:tcW w:w="1849" w:type="dxa"/>
            <w:tcBorders>
              <w:top w:val="single" w:color="000000" w:sz="6" w:space="0"/>
              <w:left w:val="single" w:color="000000" w:sz="6" w:space="0"/>
              <w:bottom w:val="single" w:color="000000" w:sz="6" w:space="0"/>
              <w:right w:val="nil"/>
            </w:tcBorders>
            <w:tcMar>
              <w:left w:w="28" w:type="dxa"/>
              <w:right w:w="28" w:type="dxa"/>
            </w:tcMar>
            <w:vAlign w:val="center"/>
          </w:tcPr>
          <w:p>
            <w:pPr>
              <w:widowControl/>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1.办事指南：主要包括适用范围、受理机构、事项名称、设定依据、申请条件、办理材料、办理地点、办理时间、联系电话、办理流程、办理期限、申请行政许可需要提交的全部材料目录及办理情况、结果送达、收费依据及标准、监督投诉渠道等；</w:t>
            </w:r>
          </w:p>
          <w:p>
            <w:pPr>
              <w:widowControl/>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2.行政许可决定</w:t>
            </w:r>
            <w:r>
              <w:rPr>
                <w:rFonts w:hint="eastAsia" w:ascii="Times New Roman" w:hAnsi="Times New Roman" w:eastAsia="仿宋_GB2312" w:cs="宋体"/>
                <w:sz w:val="24"/>
                <w:lang w:eastAsia="zh-CN" w:bidi="ar-SA"/>
              </w:rPr>
              <w:t>。</w:t>
            </w:r>
          </w:p>
        </w:tc>
        <w:tc>
          <w:tcPr>
            <w:tcW w:w="2545" w:type="dxa"/>
            <w:tcBorders>
              <w:top w:val="single" w:color="000000" w:sz="6" w:space="0"/>
              <w:left w:val="single" w:color="000000" w:sz="6" w:space="0"/>
              <w:bottom w:val="single" w:color="000000" w:sz="6" w:space="0"/>
              <w:right w:val="nil"/>
            </w:tcBorders>
            <w:tcMar>
              <w:left w:w="28" w:type="dxa"/>
              <w:right w:w="28" w:type="dxa"/>
            </w:tcMar>
            <w:vAlign w:val="center"/>
          </w:tcPr>
          <w:p>
            <w:pPr>
              <w:widowControl/>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1.《中华人民共和国行政许可法》；</w:t>
            </w:r>
          </w:p>
          <w:p>
            <w:pPr>
              <w:widowControl/>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2.《中华人民共和国政府信息公开条例》；</w:t>
            </w:r>
          </w:p>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3.《</w:t>
            </w:r>
            <w:r>
              <w:rPr>
                <w:rFonts w:hint="eastAsia" w:ascii="Times New Roman" w:hAnsi="Times New Roman" w:eastAsia="仿宋_GB2312" w:cs="宋体"/>
                <w:sz w:val="24"/>
                <w:lang w:eastAsia="zh-CN" w:bidi="ar-SA"/>
              </w:rPr>
              <w:t>印刷业</w:t>
            </w:r>
            <w:r>
              <w:rPr>
                <w:rFonts w:hint="eastAsia" w:ascii="Times New Roman" w:hAnsi="Times New Roman" w:eastAsia="仿宋_GB2312" w:cs="宋体"/>
                <w:sz w:val="24"/>
                <w:lang w:bidi="ar-SA"/>
              </w:rPr>
              <w:t>管理条例》；</w:t>
            </w:r>
          </w:p>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4.《</w:t>
            </w:r>
            <w:r>
              <w:rPr>
                <w:rFonts w:hint="eastAsia" w:ascii="Times New Roman" w:hAnsi="Times New Roman" w:eastAsia="仿宋_GB2312" w:cs="宋体"/>
                <w:sz w:val="24"/>
                <w:lang w:eastAsia="zh-CN" w:bidi="ar-SA"/>
              </w:rPr>
              <w:t>内部资料性出版物管理办法</w:t>
            </w:r>
            <w:r>
              <w:rPr>
                <w:rFonts w:hint="eastAsia" w:ascii="Times New Roman" w:hAnsi="Times New Roman" w:eastAsia="仿宋_GB2312" w:cs="宋体"/>
                <w:sz w:val="24"/>
                <w:lang w:bidi="ar-SA"/>
              </w:rPr>
              <w:t>》；</w:t>
            </w:r>
          </w:p>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5.《关于全面推进政务公开工作的意见》</w:t>
            </w:r>
            <w:r>
              <w:rPr>
                <w:rFonts w:ascii="Times New Roman" w:hAnsi="Times New Roman" w:eastAsia="仿宋_GB2312" w:cs="宋体"/>
                <w:sz w:val="24"/>
                <w:lang w:bidi="ar-SA"/>
              </w:rPr>
              <w:t>。</w:t>
            </w:r>
          </w:p>
        </w:tc>
        <w:tc>
          <w:tcPr>
            <w:tcW w:w="1140" w:type="dxa"/>
            <w:tcBorders>
              <w:top w:val="single" w:color="000000" w:sz="6" w:space="0"/>
              <w:left w:val="single" w:color="000000" w:sz="6" w:space="0"/>
              <w:bottom w:val="single" w:color="000000" w:sz="6" w:space="0"/>
              <w:right w:val="nil"/>
            </w:tcBorders>
            <w:tcMar>
              <w:left w:w="28" w:type="dxa"/>
              <w:right w:w="28" w:type="dxa"/>
            </w:tcMar>
            <w:vAlign w:val="center"/>
          </w:tcPr>
          <w:p>
            <w:pPr>
              <w:widowControl/>
              <w:rPr>
                <w:rFonts w:hint="eastAsia" w:ascii="Times New Roman" w:hAnsi="Times New Roman" w:eastAsia="仿宋_GB2312" w:cs="Times New Roman"/>
                <w:kern w:val="2"/>
                <w:sz w:val="19"/>
                <w:szCs w:val="19"/>
                <w:lang w:val="en-US" w:eastAsia="zh-CN" w:bidi="ar-SA"/>
              </w:rPr>
            </w:pPr>
            <w:r>
              <w:rPr>
                <w:rFonts w:hint="eastAsia" w:ascii="Times New Roman" w:hAnsi="Times New Roman" w:eastAsia="仿宋_GB2312" w:cs="宋体"/>
                <w:sz w:val="24"/>
                <w:lang w:bidi="ar-SA"/>
              </w:rPr>
              <w:t>信息形成或变更之日起20个工作日内公开</w:t>
            </w:r>
          </w:p>
        </w:tc>
        <w:tc>
          <w:tcPr>
            <w:tcW w:w="980" w:type="dxa"/>
            <w:tcBorders>
              <w:top w:val="single" w:color="000000" w:sz="6" w:space="0"/>
              <w:left w:val="single" w:color="000000" w:sz="6" w:space="0"/>
              <w:bottom w:val="single" w:color="000000" w:sz="6" w:space="0"/>
              <w:right w:val="nil"/>
            </w:tcBorders>
            <w:tcMar>
              <w:left w:w="28" w:type="dxa"/>
              <w:right w:w="28" w:type="dxa"/>
            </w:tcMar>
            <w:vAlign w:val="center"/>
          </w:tcPr>
          <w:p>
            <w:pPr>
              <w:widowControl/>
              <w:rPr>
                <w:rFonts w:hint="eastAsia" w:ascii="Times New Roman" w:hAnsi="Times New Roman" w:eastAsia="仿宋_GB2312" w:cs="Times New Roman"/>
                <w:kern w:val="2"/>
                <w:sz w:val="19"/>
                <w:szCs w:val="19"/>
                <w:lang w:val="en-US" w:eastAsia="zh-CN" w:bidi="ar-SA"/>
              </w:rPr>
            </w:pPr>
            <w:r>
              <w:rPr>
                <w:rFonts w:hint="eastAsia" w:ascii="Times New Roman" w:hAnsi="Times New Roman" w:eastAsia="仿宋_GB2312" w:cs="宋体"/>
                <w:sz w:val="24"/>
                <w:lang w:eastAsia="zh-CN" w:bidi="ar-SA"/>
              </w:rPr>
              <w:t>济源市新闻出版电影局</w:t>
            </w:r>
          </w:p>
        </w:tc>
        <w:tc>
          <w:tcPr>
            <w:tcW w:w="1795" w:type="dxa"/>
            <w:tcBorders>
              <w:top w:val="single" w:color="000000" w:sz="6" w:space="0"/>
              <w:left w:val="single" w:color="000000" w:sz="6" w:space="0"/>
              <w:bottom w:val="single" w:color="000000" w:sz="6" w:space="0"/>
              <w:right w:val="nil"/>
            </w:tcBorders>
            <w:tcMar>
              <w:left w:w="115" w:type="dxa"/>
            </w:tcMar>
            <w:vAlign w:val="center"/>
          </w:tcPr>
          <w:p>
            <w:pPr>
              <w:widowControl/>
              <w:spacing w:line="300" w:lineRule="exact"/>
              <w:jc w:val="left"/>
              <w:rPr>
                <w:rFonts w:hint="eastAsia" w:ascii="Times New Roman" w:hAnsi="Times New Roman" w:eastAsia="仿宋_GB2312" w:cs="Times New Roman"/>
                <w:color w:val="auto"/>
                <w:kern w:val="0"/>
                <w:sz w:val="24"/>
                <w:szCs w:val="24"/>
                <w:shd w:val="clear" w:color="auto" w:fill="FFFFFF"/>
                <w:lang w:bidi="ar-SA"/>
              </w:rPr>
            </w:pPr>
            <w:r>
              <w:rPr>
                <w:rFonts w:hint="eastAsia" w:ascii="Times New Roman" w:hAnsi="Times New Roman" w:eastAsia="仿宋_GB2312" w:cs="Times New Roman"/>
                <w:color w:val="auto"/>
                <w:kern w:val="0"/>
                <w:sz w:val="24"/>
                <w:szCs w:val="24"/>
                <w:shd w:val="clear" w:color="auto" w:fill="FFFFFF"/>
                <w:lang w:val="en-US" w:eastAsia="zh-CN" w:bidi="ar-SA"/>
              </w:rPr>
              <w:t>1</w:t>
            </w:r>
            <w:r>
              <w:rPr>
                <w:rFonts w:ascii="Times New Roman" w:hAnsi="Times New Roman" w:eastAsia="仿宋_GB2312" w:cs="Times New Roman"/>
                <w:color w:val="auto"/>
                <w:kern w:val="0"/>
                <w:sz w:val="24"/>
                <w:szCs w:val="24"/>
                <w:shd w:val="clear" w:color="auto" w:fill="FFFFFF"/>
                <w:lang w:bidi="ar-SA"/>
              </w:rPr>
              <w:t>.</w:t>
            </w:r>
            <w:r>
              <w:rPr>
                <w:rFonts w:hint="eastAsia" w:ascii="Times New Roman" w:hAnsi="Times New Roman" w:eastAsia="仿宋_GB2312" w:cs="Times New Roman"/>
                <w:color w:val="auto"/>
                <w:kern w:val="0"/>
                <w:sz w:val="24"/>
                <w:szCs w:val="24"/>
                <w:shd w:val="clear" w:color="auto" w:fill="FFFFFF"/>
                <w:lang w:bidi="ar-SA"/>
              </w:rPr>
              <w:t xml:space="preserve">公开查阅点     </w:t>
            </w:r>
          </w:p>
          <w:p>
            <w:pPr>
              <w:widowControl/>
              <w:spacing w:line="300" w:lineRule="exact"/>
              <w:jc w:val="left"/>
              <w:rPr>
                <w:rFonts w:hint="eastAsia" w:ascii="Times New Roman" w:hAnsi="Times New Roman" w:eastAsia="仿宋_GB2312" w:cs="Times New Roman"/>
                <w:color w:val="auto"/>
                <w:kern w:val="0"/>
                <w:sz w:val="24"/>
                <w:szCs w:val="24"/>
                <w:shd w:val="clear" w:color="auto" w:fill="FFFFFF"/>
                <w:lang w:bidi="ar-SA"/>
              </w:rPr>
            </w:pPr>
            <w:r>
              <w:rPr>
                <w:rFonts w:hint="eastAsia" w:ascii="Times New Roman" w:hAnsi="Times New Roman" w:eastAsia="仿宋_GB2312" w:cs="Times New Roman"/>
                <w:color w:val="auto"/>
                <w:kern w:val="0"/>
                <w:sz w:val="24"/>
                <w:szCs w:val="24"/>
                <w:shd w:val="clear" w:color="auto" w:fill="FFFFFF"/>
                <w:lang w:val="en-US" w:eastAsia="zh-CN" w:bidi="ar-SA"/>
              </w:rPr>
              <w:t>2</w:t>
            </w:r>
            <w:r>
              <w:rPr>
                <w:rFonts w:ascii="Times New Roman" w:hAnsi="Times New Roman" w:eastAsia="仿宋_GB2312" w:cs="Times New Roman"/>
                <w:color w:val="auto"/>
                <w:kern w:val="0"/>
                <w:sz w:val="24"/>
                <w:szCs w:val="24"/>
                <w:shd w:val="clear" w:color="auto" w:fill="FFFFFF"/>
                <w:lang w:bidi="ar-SA"/>
              </w:rPr>
              <w:t>.</w:t>
            </w:r>
            <w:r>
              <w:rPr>
                <w:rFonts w:hint="eastAsia" w:ascii="Times New Roman" w:hAnsi="Times New Roman" w:eastAsia="仿宋_GB2312" w:cs="Times New Roman"/>
                <w:color w:val="auto"/>
                <w:kern w:val="0"/>
                <w:sz w:val="24"/>
                <w:szCs w:val="24"/>
                <w:shd w:val="clear" w:color="auto" w:fill="FFFFFF"/>
                <w:lang w:bidi="ar-SA"/>
              </w:rPr>
              <w:t xml:space="preserve">政务服务中心   </w:t>
            </w:r>
          </w:p>
          <w:p>
            <w:pPr>
              <w:widowControl/>
              <w:spacing w:line="320" w:lineRule="exact"/>
              <w:jc w:val="left"/>
              <w:rPr>
                <w:rFonts w:hint="eastAsia" w:ascii="Times New Roman" w:hAnsi="Times New Roman" w:eastAsia="仿宋_GB2312" w:cs="Times New Roman"/>
                <w:sz w:val="19"/>
                <w:szCs w:val="19"/>
                <w:lang w:bidi="ar-SA"/>
              </w:rPr>
            </w:pPr>
            <w:r>
              <w:rPr>
                <w:rFonts w:hint="eastAsia" w:ascii="Times New Roman" w:hAnsi="Times New Roman" w:eastAsia="仿宋_GB2312" w:cs="Times New Roman"/>
                <w:color w:val="auto"/>
                <w:kern w:val="0"/>
                <w:sz w:val="24"/>
                <w:szCs w:val="24"/>
                <w:shd w:val="clear" w:color="auto" w:fill="FFFFFF"/>
                <w:lang w:bidi="ar-SA"/>
              </w:rPr>
              <w:t xml:space="preserve"> </w:t>
            </w:r>
          </w:p>
        </w:tc>
        <w:tc>
          <w:tcPr>
            <w:tcW w:w="435" w:type="dxa"/>
            <w:tcBorders>
              <w:top w:val="single" w:color="000000" w:sz="6" w:space="0"/>
              <w:left w:val="single" w:color="000000" w:sz="6" w:space="0"/>
              <w:bottom w:val="single" w:color="000000" w:sz="6" w:space="0"/>
              <w:right w:val="nil"/>
            </w:tcBorders>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w:t>
            </w:r>
          </w:p>
        </w:tc>
        <w:tc>
          <w:tcPr>
            <w:tcW w:w="705" w:type="dxa"/>
            <w:tcBorders>
              <w:top w:val="single" w:color="000000" w:sz="6" w:space="0"/>
              <w:left w:val="single" w:color="000000" w:sz="6" w:space="0"/>
              <w:bottom w:val="single" w:color="000000" w:sz="6" w:space="0"/>
              <w:right w:val="nil"/>
            </w:tcBorders>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　</w:t>
            </w:r>
          </w:p>
        </w:tc>
        <w:tc>
          <w:tcPr>
            <w:tcW w:w="465" w:type="dxa"/>
            <w:tcBorders>
              <w:top w:val="single" w:color="000000" w:sz="6" w:space="0"/>
              <w:left w:val="single" w:color="000000" w:sz="6" w:space="0"/>
              <w:bottom w:val="single" w:color="000000" w:sz="6" w:space="0"/>
              <w:right w:val="nil"/>
            </w:tcBorders>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w:t>
            </w:r>
          </w:p>
        </w:tc>
        <w:tc>
          <w:tcPr>
            <w:tcW w:w="840" w:type="dxa"/>
            <w:tcBorders>
              <w:top w:val="single" w:color="000000" w:sz="6" w:space="0"/>
              <w:left w:val="single" w:color="000000" w:sz="6" w:space="0"/>
              <w:bottom w:val="single" w:color="000000" w:sz="6" w:space="0"/>
              <w:right w:val="nil"/>
            </w:tcBorders>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　</w:t>
            </w:r>
          </w:p>
        </w:tc>
        <w:tc>
          <w:tcPr>
            <w:tcW w:w="480" w:type="dxa"/>
            <w:tcBorders>
              <w:top w:val="single" w:color="000000" w:sz="6" w:space="0"/>
              <w:left w:val="single" w:color="000000" w:sz="6" w:space="0"/>
              <w:bottom w:val="single" w:color="000000" w:sz="6" w:space="0"/>
              <w:right w:val="nil"/>
            </w:tcBorders>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w:t>
            </w:r>
          </w:p>
        </w:tc>
        <w:tc>
          <w:tcPr>
            <w:tcW w:w="484" w:type="dxa"/>
            <w:tcBorders>
              <w:top w:val="single" w:color="000000" w:sz="6" w:space="0"/>
              <w:left w:val="single" w:color="000000" w:sz="6" w:space="0"/>
              <w:bottom w:val="single" w:color="000000" w:sz="6" w:space="0"/>
              <w:right w:val="single" w:color="000000" w:sz="6" w:space="0"/>
            </w:tcBorders>
            <w:tcMar>
              <w:left w:w="28" w:type="dxa"/>
              <w:right w:w="28" w:type="dxa"/>
            </w:tcMar>
            <w:vAlign w:val="center"/>
          </w:tcPr>
          <w:p>
            <w:pPr>
              <w:widowControl/>
              <w:spacing w:after="180"/>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　</w:t>
            </w:r>
          </w:p>
        </w:tc>
      </w:tr>
      <w:tr>
        <w:trPr>
          <w:trHeight w:val="2092" w:hRule="atLeast"/>
          <w:jc w:val="center"/>
        </w:trPr>
        <w:tc>
          <w:tcPr>
            <w:tcW w:w="675" w:type="dxa"/>
            <w:tcBorders>
              <w:top w:val="single" w:color="000000" w:sz="6" w:space="0"/>
              <w:left w:val="single" w:color="000000" w:sz="6" w:space="0"/>
              <w:bottom w:val="single" w:color="000000" w:sz="6" w:space="0"/>
              <w:right w:val="nil"/>
            </w:tcBorders>
            <w:vAlign w:val="center"/>
          </w:tcPr>
          <w:p>
            <w:pPr>
              <w:widowControl/>
              <w:spacing w:after="180"/>
              <w:jc w:val="center"/>
              <w:rPr>
                <w:rFonts w:hint="eastAsia" w:ascii="Times New Roman" w:hAnsi="Times New Roman" w:eastAsia="仿宋_GB2312" w:cs="宋体"/>
                <w:sz w:val="24"/>
                <w:lang w:val="en-US" w:eastAsia="zh-CN" w:bidi="ar-SA"/>
              </w:rPr>
            </w:pPr>
            <w:r>
              <w:rPr>
                <w:rFonts w:hint="eastAsia" w:ascii="Times New Roman" w:hAnsi="Times New Roman" w:eastAsia="仿宋_GB2312" w:cs="宋体"/>
                <w:sz w:val="24"/>
                <w:lang w:val="en-US" w:eastAsia="zh-CN" w:bidi="ar-SA"/>
              </w:rPr>
              <w:t>4</w:t>
            </w:r>
          </w:p>
        </w:tc>
        <w:tc>
          <w:tcPr>
            <w:tcW w:w="825"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行政</w:t>
            </w:r>
          </w:p>
          <w:p>
            <w:pPr>
              <w:widowControl/>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处罚</w:t>
            </w:r>
          </w:p>
          <w:p>
            <w:pPr>
              <w:widowControl/>
              <w:jc w:val="center"/>
              <w:rPr>
                <w:rFonts w:hint="eastAsia" w:ascii="Times New Roman" w:hAnsi="Times New Roman" w:eastAsia="仿宋_GB2312" w:cs="宋体"/>
                <w:sz w:val="24"/>
                <w:lang w:bidi="ar-SA"/>
              </w:rPr>
            </w:pPr>
          </w:p>
        </w:tc>
        <w:tc>
          <w:tcPr>
            <w:tcW w:w="1170"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rPr>
                <w:rFonts w:hint="eastAsia" w:ascii="Times New Roman" w:hAnsi="Times New Roman" w:eastAsia="仿宋_GB2312" w:cs="Times New Roman"/>
                <w:sz w:val="24"/>
                <w:szCs w:val="24"/>
                <w:lang w:bidi="ar-SA"/>
              </w:rPr>
            </w:pPr>
            <w:r>
              <w:rPr>
                <w:rFonts w:hint="eastAsia" w:ascii="Times New Roman" w:hAnsi="Times New Roman" w:eastAsia="仿宋_GB2312" w:cs="宋体"/>
                <w:sz w:val="24"/>
                <w:lang w:bidi="ar-SA"/>
              </w:rPr>
              <w:t>对非法从事印刷经营活动的行政处罚</w:t>
            </w:r>
          </w:p>
        </w:tc>
        <w:tc>
          <w:tcPr>
            <w:tcW w:w="1849"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处罚对象、案件名称、违法主要事实、处罚种类和内容、处罚依据、作出处罚决定部门、处罚时间、处罚结果、处罚决定书文号、处罚履行方式和期限等。</w:t>
            </w:r>
          </w:p>
        </w:tc>
        <w:tc>
          <w:tcPr>
            <w:tcW w:w="2545"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1.《印刷业管理条例》；2.《国务院关于促进市场公平竞争维护市场正常秩序的若干意见》；</w:t>
            </w:r>
          </w:p>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3.《国务院办公厅关于全面推行行政执法公示制度执法全过程记录制度重大执法决定法制审核制度的指导意见》；</w:t>
            </w:r>
          </w:p>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4.《中华人民共和国政府信息公开条例》；</w:t>
            </w:r>
          </w:p>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5.《关于全面推进政务公开工作的意见》</w:t>
            </w:r>
            <w:r>
              <w:rPr>
                <w:rFonts w:ascii="Times New Roman" w:hAnsi="Times New Roman" w:eastAsia="仿宋_GB2312" w:cs="宋体"/>
                <w:sz w:val="24"/>
                <w:lang w:bidi="ar-SA"/>
              </w:rPr>
              <w:t>。</w:t>
            </w:r>
          </w:p>
        </w:tc>
        <w:tc>
          <w:tcPr>
            <w:tcW w:w="1140"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执法决定信息在决定作出之日起7个工作日内公开，其他相关信息形成或变更之日起20个工作日内公开</w:t>
            </w:r>
          </w:p>
        </w:tc>
        <w:tc>
          <w:tcPr>
            <w:tcW w:w="980"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rPr>
                <w:rFonts w:hint="eastAsia" w:ascii="Times New Roman" w:hAnsi="Times New Roman" w:eastAsia="仿宋_GB2312" w:cs="宋体"/>
                <w:sz w:val="24"/>
                <w:lang w:eastAsia="zh-CN" w:bidi="ar-SA"/>
              </w:rPr>
            </w:pPr>
            <w:r>
              <w:rPr>
                <w:rFonts w:hint="eastAsia" w:ascii="宋体" w:hAnsi="宋体" w:eastAsia="宋体" w:cs="宋体"/>
                <w:i w:val="0"/>
                <w:color w:val="auto"/>
                <w:kern w:val="0"/>
                <w:sz w:val="20"/>
                <w:szCs w:val="20"/>
                <w:u w:val="none"/>
                <w:lang w:val="en-US" w:eastAsia="zh-CN"/>
              </w:rPr>
              <w:t>济源产城融合示范区文化广电和旅游局</w:t>
            </w:r>
          </w:p>
        </w:tc>
        <w:tc>
          <w:tcPr>
            <w:tcW w:w="1795" w:type="dxa"/>
            <w:tcBorders>
              <w:top w:val="single" w:color="000000" w:sz="6" w:space="0"/>
              <w:left w:val="single" w:color="000000" w:sz="6" w:space="0"/>
              <w:bottom w:val="single" w:color="000000" w:sz="6" w:space="0"/>
              <w:right w:val="nil"/>
            </w:tcBorders>
            <w:tcMar>
              <w:left w:w="115" w:type="dxa"/>
            </w:tcMar>
            <w:textDirection w:val="lrTb"/>
            <w:vAlign w:val="center"/>
          </w:tcPr>
          <w:p>
            <w:pPr>
              <w:widowControl/>
              <w:wordWrap/>
              <w:overflowPunct w:val="0"/>
              <w:autoSpaceDE w:val="0"/>
              <w:autoSpaceDN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rPr>
            </w:pPr>
            <w:r>
              <w:rPr>
                <w:rFonts w:hint="eastAsia" w:ascii="宋体" w:hAnsi="宋体" w:eastAsia="宋体" w:cs="宋体"/>
                <w:i w:val="0"/>
                <w:color w:val="auto"/>
                <w:kern w:val="0"/>
                <w:sz w:val="20"/>
                <w:szCs w:val="20"/>
                <w:u w:val="none"/>
                <w:lang w:val="en-US" w:eastAsia="zh-CN"/>
              </w:rPr>
              <w:t>政府网站；政务服务中心；</w:t>
            </w:r>
          </w:p>
          <w:p>
            <w:pPr>
              <w:widowControl/>
              <w:spacing w:line="320" w:lineRule="exact"/>
              <w:jc w:val="left"/>
              <w:rPr>
                <w:rFonts w:hint="eastAsia" w:ascii="Times New Roman" w:hAnsi="Times New Roman" w:eastAsia="仿宋_GB2312" w:cs="Times New Roman"/>
                <w:color w:val="auto"/>
                <w:kern w:val="0"/>
                <w:sz w:val="24"/>
                <w:szCs w:val="24"/>
                <w:shd w:val="clear" w:color="auto" w:fill="FFFFFF"/>
                <w:lang w:bidi="ar-SA"/>
              </w:rPr>
            </w:pPr>
            <w:r>
              <w:rPr>
                <w:rFonts w:hint="eastAsia" w:ascii="宋体" w:hAnsi="宋体" w:eastAsia="宋体" w:cs="宋体"/>
                <w:i w:val="0"/>
                <w:color w:val="auto"/>
                <w:kern w:val="0"/>
                <w:sz w:val="20"/>
                <w:szCs w:val="20"/>
                <w:u w:val="none"/>
                <w:lang w:val="en-US" w:eastAsia="zh-CN"/>
              </w:rPr>
              <w:t>公开查阅点</w:t>
            </w:r>
          </w:p>
        </w:tc>
        <w:tc>
          <w:tcPr>
            <w:tcW w:w="435"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w:t>
            </w:r>
          </w:p>
        </w:tc>
        <w:tc>
          <w:tcPr>
            <w:tcW w:w="705"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　</w:t>
            </w:r>
          </w:p>
        </w:tc>
        <w:tc>
          <w:tcPr>
            <w:tcW w:w="465"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w:t>
            </w:r>
          </w:p>
        </w:tc>
        <w:tc>
          <w:tcPr>
            <w:tcW w:w="840"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　</w:t>
            </w:r>
          </w:p>
        </w:tc>
        <w:tc>
          <w:tcPr>
            <w:tcW w:w="480"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w:t>
            </w:r>
          </w:p>
        </w:tc>
        <w:tc>
          <w:tcPr>
            <w:tcW w:w="484" w:type="dxa"/>
            <w:tcBorders>
              <w:top w:val="single" w:color="000000" w:sz="6" w:space="0"/>
              <w:left w:val="single" w:color="000000" w:sz="6" w:space="0"/>
              <w:bottom w:val="single" w:color="000000" w:sz="6" w:space="0"/>
              <w:right w:val="single" w:color="000000" w:sz="6" w:space="0"/>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　</w:t>
            </w:r>
          </w:p>
        </w:tc>
      </w:tr>
      <w:tr>
        <w:trPr>
          <w:trHeight w:val="2092" w:hRule="atLeast"/>
          <w:jc w:val="center"/>
        </w:trPr>
        <w:tc>
          <w:tcPr>
            <w:tcW w:w="675" w:type="dxa"/>
            <w:tcBorders>
              <w:top w:val="single" w:color="000000" w:sz="6" w:space="0"/>
              <w:left w:val="single" w:color="000000" w:sz="6" w:space="0"/>
              <w:bottom w:val="single" w:color="000000" w:sz="6" w:space="0"/>
              <w:right w:val="nil"/>
            </w:tcBorders>
            <w:vAlign w:val="center"/>
          </w:tcPr>
          <w:p>
            <w:pPr>
              <w:widowControl/>
              <w:spacing w:after="180"/>
              <w:jc w:val="center"/>
              <w:rPr>
                <w:rFonts w:hint="eastAsia" w:ascii="Times New Roman" w:hAnsi="Times New Roman" w:eastAsia="仿宋_GB2312" w:cs="宋体"/>
                <w:sz w:val="24"/>
                <w:lang w:val="en-US" w:eastAsia="zh-CN" w:bidi="ar-SA"/>
              </w:rPr>
            </w:pPr>
            <w:r>
              <w:rPr>
                <w:rFonts w:hint="eastAsia" w:ascii="Times New Roman" w:hAnsi="Times New Roman" w:eastAsia="仿宋_GB2312" w:cs="宋体"/>
                <w:sz w:val="24"/>
                <w:lang w:val="en-US" w:eastAsia="zh-CN" w:bidi="ar-SA"/>
              </w:rPr>
              <w:t>5</w:t>
            </w:r>
          </w:p>
        </w:tc>
        <w:tc>
          <w:tcPr>
            <w:tcW w:w="825"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行政</w:t>
            </w:r>
          </w:p>
          <w:p>
            <w:pPr>
              <w:widowControl/>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处罚</w:t>
            </w:r>
          </w:p>
        </w:tc>
        <w:tc>
          <w:tcPr>
            <w:tcW w:w="1170"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rPr>
                <w:rFonts w:hint="eastAsia" w:ascii="Times New Roman" w:hAnsi="Times New Roman" w:eastAsia="仿宋_GB2312" w:cs="Times New Roman"/>
                <w:sz w:val="24"/>
                <w:szCs w:val="24"/>
                <w:lang w:bidi="ar-SA"/>
              </w:rPr>
            </w:pPr>
            <w:r>
              <w:rPr>
                <w:rFonts w:hint="eastAsia" w:ascii="Times New Roman" w:hAnsi="Times New Roman" w:eastAsia="仿宋_GB2312" w:cs="宋体"/>
                <w:sz w:val="24"/>
                <w:lang w:bidi="ar-SA"/>
              </w:rPr>
              <w:t>对非法从事复制经营活动的行政处罚</w:t>
            </w:r>
          </w:p>
        </w:tc>
        <w:tc>
          <w:tcPr>
            <w:tcW w:w="1849"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处罚对象、案件名称、违法主要事实、处罚种类和内容、处罚依据、作出处罚决定部门、处罚时间、处罚结果、处罚决定书文号、处罚履行方式和期限等。</w:t>
            </w:r>
          </w:p>
        </w:tc>
        <w:tc>
          <w:tcPr>
            <w:tcW w:w="2545"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1.《音像制品管理条例》；</w:t>
            </w:r>
          </w:p>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2.《复制管理办法》；</w:t>
            </w:r>
          </w:p>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3.《国务院关于促进市场公平竞争维护市场正常秩序的若干意见》；</w:t>
            </w:r>
          </w:p>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4.《国务院办公厅关于全面推行行政执法公示制度执法全过程记录制度重大执法决定法制审核制度的指导意见》；</w:t>
            </w:r>
          </w:p>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5.《中华人民共和国政府信息公开条例》；</w:t>
            </w:r>
          </w:p>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6.《关于全面推进政务公开工作的意见》</w:t>
            </w:r>
            <w:r>
              <w:rPr>
                <w:rFonts w:ascii="Times New Roman" w:hAnsi="Times New Roman" w:eastAsia="仿宋_GB2312" w:cs="宋体"/>
                <w:sz w:val="24"/>
                <w:lang w:bidi="ar-SA"/>
              </w:rPr>
              <w:t>。</w:t>
            </w:r>
          </w:p>
        </w:tc>
        <w:tc>
          <w:tcPr>
            <w:tcW w:w="1140"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执法决定信息在决定作出之日起7个工作日内公开，其他相关信息形成或变更之日起20个工作日内公开</w:t>
            </w:r>
          </w:p>
        </w:tc>
        <w:tc>
          <w:tcPr>
            <w:tcW w:w="980"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rPr>
                <w:rFonts w:hint="eastAsia" w:ascii="Times New Roman" w:hAnsi="Times New Roman" w:eastAsia="仿宋_GB2312" w:cs="宋体"/>
                <w:sz w:val="24"/>
                <w:lang w:eastAsia="zh-CN" w:bidi="ar-SA"/>
              </w:rPr>
            </w:pPr>
            <w:r>
              <w:rPr>
                <w:rFonts w:hint="eastAsia" w:ascii="宋体" w:hAnsi="宋体" w:eastAsia="宋体" w:cs="宋体"/>
                <w:i w:val="0"/>
                <w:color w:val="auto"/>
                <w:kern w:val="0"/>
                <w:sz w:val="20"/>
                <w:szCs w:val="20"/>
                <w:u w:val="none"/>
                <w:lang w:val="en-US" w:eastAsia="zh-CN"/>
              </w:rPr>
              <w:t>济源产城融合示范区文化广电和旅游局</w:t>
            </w:r>
          </w:p>
        </w:tc>
        <w:tc>
          <w:tcPr>
            <w:tcW w:w="1795" w:type="dxa"/>
            <w:tcBorders>
              <w:top w:val="single" w:color="000000" w:sz="6" w:space="0"/>
              <w:left w:val="single" w:color="000000" w:sz="6" w:space="0"/>
              <w:bottom w:val="single" w:color="000000" w:sz="6" w:space="0"/>
              <w:right w:val="nil"/>
            </w:tcBorders>
            <w:tcMar>
              <w:left w:w="115" w:type="dxa"/>
            </w:tcMar>
            <w:textDirection w:val="lrTb"/>
            <w:vAlign w:val="center"/>
          </w:tcPr>
          <w:p>
            <w:pPr>
              <w:widowControl/>
              <w:wordWrap/>
              <w:overflowPunct w:val="0"/>
              <w:autoSpaceDE w:val="0"/>
              <w:autoSpaceDN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rPr>
            </w:pPr>
            <w:r>
              <w:rPr>
                <w:rFonts w:hint="eastAsia" w:ascii="宋体" w:hAnsi="宋体" w:eastAsia="宋体" w:cs="宋体"/>
                <w:i w:val="0"/>
                <w:color w:val="auto"/>
                <w:kern w:val="0"/>
                <w:sz w:val="20"/>
                <w:szCs w:val="20"/>
                <w:u w:val="none"/>
                <w:lang w:val="en-US" w:eastAsia="zh-CN"/>
              </w:rPr>
              <w:t>政府网站；政务服务中心；</w:t>
            </w:r>
          </w:p>
          <w:p>
            <w:pPr>
              <w:widowControl/>
              <w:spacing w:line="320" w:lineRule="exact"/>
              <w:jc w:val="left"/>
              <w:rPr>
                <w:rFonts w:hint="eastAsia" w:ascii="Times New Roman" w:hAnsi="Times New Roman" w:eastAsia="仿宋_GB2312" w:cs="Times New Roman"/>
                <w:color w:val="auto"/>
                <w:kern w:val="0"/>
                <w:sz w:val="24"/>
                <w:szCs w:val="24"/>
                <w:shd w:val="clear" w:color="auto" w:fill="FFFFFF"/>
                <w:lang w:bidi="ar-SA"/>
              </w:rPr>
            </w:pPr>
            <w:r>
              <w:rPr>
                <w:rFonts w:hint="eastAsia" w:ascii="宋体" w:hAnsi="宋体" w:eastAsia="宋体" w:cs="宋体"/>
                <w:i w:val="0"/>
                <w:color w:val="auto"/>
                <w:kern w:val="0"/>
                <w:sz w:val="20"/>
                <w:szCs w:val="20"/>
                <w:u w:val="none"/>
                <w:lang w:val="en-US" w:eastAsia="zh-CN"/>
              </w:rPr>
              <w:t>公开查阅点</w:t>
            </w:r>
            <w:r>
              <w:rPr>
                <w:rFonts w:hint="eastAsia" w:ascii="Times New Roman" w:hAnsi="Times New Roman" w:eastAsia="仿宋_GB2312" w:cs="Times New Roman"/>
                <w:kern w:val="0"/>
                <w:sz w:val="16"/>
                <w:szCs w:val="15"/>
                <w:shd w:val="clear" w:color="auto" w:fill="FFFFFF"/>
                <w:lang w:bidi="ar-SA"/>
              </w:rPr>
              <w:t xml:space="preserve">   </w:t>
            </w:r>
          </w:p>
        </w:tc>
        <w:tc>
          <w:tcPr>
            <w:tcW w:w="435"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w:t>
            </w:r>
          </w:p>
        </w:tc>
        <w:tc>
          <w:tcPr>
            <w:tcW w:w="705"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　</w:t>
            </w:r>
          </w:p>
        </w:tc>
        <w:tc>
          <w:tcPr>
            <w:tcW w:w="465"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w:t>
            </w:r>
          </w:p>
        </w:tc>
        <w:tc>
          <w:tcPr>
            <w:tcW w:w="840"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　</w:t>
            </w:r>
          </w:p>
        </w:tc>
        <w:tc>
          <w:tcPr>
            <w:tcW w:w="480"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w:t>
            </w:r>
          </w:p>
        </w:tc>
        <w:tc>
          <w:tcPr>
            <w:tcW w:w="484" w:type="dxa"/>
            <w:tcBorders>
              <w:top w:val="single" w:color="000000" w:sz="6" w:space="0"/>
              <w:left w:val="single" w:color="000000" w:sz="6" w:space="0"/>
              <w:bottom w:val="single" w:color="000000" w:sz="6" w:space="0"/>
              <w:right w:val="single" w:color="000000" w:sz="6" w:space="0"/>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　</w:t>
            </w:r>
          </w:p>
        </w:tc>
      </w:tr>
      <w:tr>
        <w:trPr>
          <w:trHeight w:val="2092" w:hRule="atLeast"/>
          <w:jc w:val="center"/>
        </w:trPr>
        <w:tc>
          <w:tcPr>
            <w:tcW w:w="675" w:type="dxa"/>
            <w:tcBorders>
              <w:top w:val="single" w:color="000000" w:sz="6" w:space="0"/>
              <w:left w:val="single" w:color="000000" w:sz="6" w:space="0"/>
              <w:bottom w:val="single" w:color="000000" w:sz="6" w:space="0"/>
              <w:right w:val="nil"/>
            </w:tcBorders>
            <w:vAlign w:val="center"/>
          </w:tcPr>
          <w:p>
            <w:pPr>
              <w:widowControl/>
              <w:spacing w:after="180"/>
              <w:jc w:val="center"/>
              <w:rPr>
                <w:rFonts w:hint="eastAsia" w:ascii="Times New Roman" w:hAnsi="Times New Roman" w:eastAsia="仿宋_GB2312" w:cs="宋体"/>
                <w:sz w:val="24"/>
                <w:lang w:val="en-US" w:eastAsia="zh-CN" w:bidi="ar-SA"/>
              </w:rPr>
            </w:pPr>
            <w:r>
              <w:rPr>
                <w:rFonts w:hint="eastAsia" w:ascii="Times New Roman" w:hAnsi="Times New Roman" w:eastAsia="仿宋_GB2312" w:cs="宋体"/>
                <w:sz w:val="24"/>
                <w:lang w:val="en-US" w:eastAsia="zh-CN" w:bidi="ar-SA"/>
              </w:rPr>
              <w:t>6</w:t>
            </w:r>
          </w:p>
        </w:tc>
        <w:tc>
          <w:tcPr>
            <w:tcW w:w="825"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行政</w:t>
            </w:r>
          </w:p>
          <w:p>
            <w:pPr>
              <w:widowControl/>
              <w:jc w:val="center"/>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处罚</w:t>
            </w:r>
          </w:p>
          <w:p>
            <w:pPr>
              <w:widowControl/>
              <w:jc w:val="center"/>
              <w:rPr>
                <w:rFonts w:hint="eastAsia" w:ascii="Times New Roman" w:hAnsi="Times New Roman" w:eastAsia="仿宋_GB2312" w:cs="宋体"/>
                <w:sz w:val="24"/>
                <w:lang w:bidi="ar-SA"/>
              </w:rPr>
            </w:pPr>
          </w:p>
        </w:tc>
        <w:tc>
          <w:tcPr>
            <w:tcW w:w="1170"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rPr>
                <w:rFonts w:hint="eastAsia" w:ascii="Times New Roman" w:hAnsi="Times New Roman" w:eastAsia="仿宋_GB2312" w:cs="Times New Roman"/>
                <w:sz w:val="24"/>
                <w:szCs w:val="24"/>
                <w:lang w:bidi="ar-SA"/>
              </w:rPr>
            </w:pPr>
            <w:r>
              <w:rPr>
                <w:rFonts w:hint="eastAsia" w:ascii="Times New Roman" w:hAnsi="Times New Roman" w:eastAsia="仿宋_GB2312" w:cs="宋体"/>
                <w:sz w:val="24"/>
                <w:lang w:bidi="ar-SA"/>
              </w:rPr>
              <w:t>对非法编印内部资料性出版物行为的行政处罚</w:t>
            </w:r>
          </w:p>
        </w:tc>
        <w:tc>
          <w:tcPr>
            <w:tcW w:w="1849"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处罚对象、案件名称、违法主要事实、处罚种类及内容、处罚依据、作出处罚决定部门、处罚时间、处罚结果、处罚决定书文号、处罚履行方式和期限等。</w:t>
            </w:r>
          </w:p>
        </w:tc>
        <w:tc>
          <w:tcPr>
            <w:tcW w:w="2545"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1.《印刷业管理条例》；</w:t>
            </w:r>
          </w:p>
          <w:p>
            <w:pPr>
              <w:widowControl/>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2.《内部资料性出版物管理办法》；</w:t>
            </w:r>
          </w:p>
          <w:p>
            <w:pPr>
              <w:widowControl/>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3.《国务院关于促进市场公平竞争维护市场正常秩序的若干意见》；</w:t>
            </w:r>
          </w:p>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4.《国务院办公厅关于全面推行行政执法公示制度执法全过程记录制度重大执法决定法制审核制度的指导意见》；</w:t>
            </w:r>
          </w:p>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5.《中华人民共和国政府信息公开条例》；</w:t>
            </w:r>
          </w:p>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6.《关于全面推进政务公开工作的意见》</w:t>
            </w:r>
            <w:r>
              <w:rPr>
                <w:rFonts w:ascii="Times New Roman" w:hAnsi="Times New Roman" w:eastAsia="仿宋_GB2312" w:cs="宋体"/>
                <w:sz w:val="24"/>
                <w:lang w:bidi="ar-SA"/>
              </w:rPr>
              <w:t>。</w:t>
            </w:r>
          </w:p>
        </w:tc>
        <w:tc>
          <w:tcPr>
            <w:tcW w:w="1140"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执法决定信息在决定作出之日起7个工作日内公开，其他相关信息形成或变更之日起20个工作日内公开</w:t>
            </w:r>
          </w:p>
        </w:tc>
        <w:tc>
          <w:tcPr>
            <w:tcW w:w="980"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rPr>
                <w:rFonts w:hint="eastAsia" w:ascii="Times New Roman" w:hAnsi="Times New Roman" w:eastAsia="仿宋_GB2312" w:cs="宋体"/>
                <w:sz w:val="24"/>
                <w:lang w:eastAsia="zh-CN" w:bidi="ar-SA"/>
              </w:rPr>
            </w:pPr>
            <w:r>
              <w:rPr>
                <w:rFonts w:hint="eastAsia" w:ascii="宋体" w:hAnsi="宋体" w:eastAsia="宋体" w:cs="宋体"/>
                <w:i w:val="0"/>
                <w:color w:val="auto"/>
                <w:kern w:val="0"/>
                <w:sz w:val="20"/>
                <w:szCs w:val="20"/>
                <w:u w:val="none"/>
                <w:lang w:val="en-US" w:eastAsia="zh-CN"/>
              </w:rPr>
              <w:t>济源产城融合示范区文化广电和旅游局</w:t>
            </w:r>
          </w:p>
        </w:tc>
        <w:tc>
          <w:tcPr>
            <w:tcW w:w="1795" w:type="dxa"/>
            <w:tcBorders>
              <w:top w:val="single" w:color="000000" w:sz="6" w:space="0"/>
              <w:left w:val="single" w:color="000000" w:sz="6" w:space="0"/>
              <w:bottom w:val="single" w:color="000000" w:sz="6" w:space="0"/>
              <w:right w:val="nil"/>
            </w:tcBorders>
            <w:tcMar>
              <w:left w:w="115" w:type="dxa"/>
            </w:tcMar>
            <w:textDirection w:val="lrTb"/>
            <w:vAlign w:val="center"/>
          </w:tcPr>
          <w:p>
            <w:pPr>
              <w:widowControl/>
              <w:wordWrap/>
              <w:overflowPunct w:val="0"/>
              <w:autoSpaceDE w:val="0"/>
              <w:autoSpaceDN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rPr>
            </w:pPr>
            <w:r>
              <w:rPr>
                <w:rFonts w:hint="eastAsia" w:ascii="宋体" w:hAnsi="宋体" w:eastAsia="宋体" w:cs="宋体"/>
                <w:i w:val="0"/>
                <w:color w:val="auto"/>
                <w:kern w:val="0"/>
                <w:sz w:val="20"/>
                <w:szCs w:val="20"/>
                <w:u w:val="none"/>
                <w:lang w:val="en-US" w:eastAsia="zh-CN"/>
              </w:rPr>
              <w:t>政府网站；政务服务中心；</w:t>
            </w:r>
          </w:p>
          <w:p>
            <w:pPr>
              <w:spacing w:line="320" w:lineRule="exact"/>
              <w:jc w:val="left"/>
              <w:rPr>
                <w:rFonts w:hint="eastAsia" w:ascii="Times New Roman" w:hAnsi="Times New Roman" w:eastAsia="仿宋_GB2312" w:cs="Times New Roman"/>
                <w:color w:val="auto"/>
                <w:kern w:val="0"/>
                <w:sz w:val="24"/>
                <w:szCs w:val="24"/>
                <w:shd w:val="clear" w:color="auto" w:fill="FFFFFF"/>
                <w:lang w:bidi="ar-SA"/>
              </w:rPr>
            </w:pPr>
            <w:r>
              <w:rPr>
                <w:rFonts w:hint="eastAsia" w:ascii="宋体" w:hAnsi="宋体" w:eastAsia="宋体" w:cs="宋体"/>
                <w:i w:val="0"/>
                <w:color w:val="auto"/>
                <w:kern w:val="0"/>
                <w:sz w:val="20"/>
                <w:szCs w:val="20"/>
                <w:u w:val="none"/>
                <w:lang w:val="en-US" w:eastAsia="zh-CN"/>
              </w:rPr>
              <w:t>公开查阅点</w:t>
            </w:r>
          </w:p>
        </w:tc>
        <w:tc>
          <w:tcPr>
            <w:tcW w:w="435"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w:t>
            </w:r>
          </w:p>
        </w:tc>
        <w:tc>
          <w:tcPr>
            <w:tcW w:w="705"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　</w:t>
            </w:r>
          </w:p>
        </w:tc>
        <w:tc>
          <w:tcPr>
            <w:tcW w:w="465"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w:t>
            </w:r>
          </w:p>
        </w:tc>
        <w:tc>
          <w:tcPr>
            <w:tcW w:w="840"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　</w:t>
            </w:r>
          </w:p>
        </w:tc>
        <w:tc>
          <w:tcPr>
            <w:tcW w:w="480"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w:t>
            </w:r>
          </w:p>
        </w:tc>
        <w:tc>
          <w:tcPr>
            <w:tcW w:w="484" w:type="dxa"/>
            <w:tcBorders>
              <w:top w:val="single" w:color="000000" w:sz="6" w:space="0"/>
              <w:left w:val="single" w:color="000000" w:sz="6" w:space="0"/>
              <w:bottom w:val="single" w:color="000000" w:sz="6" w:space="0"/>
              <w:right w:val="single" w:color="000000" w:sz="6" w:space="0"/>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　</w:t>
            </w:r>
          </w:p>
        </w:tc>
      </w:tr>
      <w:tr>
        <w:trPr>
          <w:trHeight w:val="2092" w:hRule="atLeast"/>
          <w:jc w:val="center"/>
        </w:trPr>
        <w:tc>
          <w:tcPr>
            <w:tcW w:w="675" w:type="dxa"/>
            <w:tcBorders>
              <w:top w:val="single" w:color="000000" w:sz="6" w:space="0"/>
              <w:left w:val="single" w:color="000000" w:sz="6" w:space="0"/>
              <w:bottom w:val="single" w:color="000000" w:sz="6" w:space="0"/>
              <w:right w:val="nil"/>
            </w:tcBorders>
            <w:vAlign w:val="center"/>
          </w:tcPr>
          <w:p>
            <w:pPr>
              <w:widowControl/>
              <w:spacing w:after="180"/>
              <w:jc w:val="center"/>
              <w:rPr>
                <w:rFonts w:hint="eastAsia" w:ascii="Times New Roman" w:hAnsi="Times New Roman" w:eastAsia="仿宋_GB2312" w:cs="宋体"/>
                <w:sz w:val="24"/>
                <w:lang w:val="en-US" w:eastAsia="zh-CN" w:bidi="ar-SA"/>
              </w:rPr>
            </w:pPr>
            <w:r>
              <w:rPr>
                <w:rFonts w:hint="eastAsia" w:ascii="Times New Roman" w:hAnsi="Times New Roman" w:eastAsia="仿宋_GB2312" w:cs="宋体"/>
                <w:sz w:val="24"/>
                <w:lang w:val="en-US" w:eastAsia="zh-CN" w:bidi="ar-SA"/>
              </w:rPr>
              <w:t>7</w:t>
            </w:r>
          </w:p>
        </w:tc>
        <w:tc>
          <w:tcPr>
            <w:tcW w:w="825"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jc w:val="center"/>
              <w:rPr>
                <w:rFonts w:ascii="Times New Roman" w:hAnsi="Times New Roman" w:eastAsia="仿宋_GB2312" w:cs="宋体"/>
                <w:sz w:val="24"/>
                <w:lang w:bidi="ar-SA"/>
              </w:rPr>
            </w:pPr>
            <w:r>
              <w:rPr>
                <w:rFonts w:hint="eastAsia" w:ascii="Times New Roman" w:hAnsi="Times New Roman" w:eastAsia="仿宋_GB2312" w:cs="宋体"/>
                <w:sz w:val="24"/>
                <w:lang w:bidi="ar-SA"/>
              </w:rPr>
              <w:t>行政</w:t>
            </w:r>
          </w:p>
          <w:p>
            <w:pPr>
              <w:widowControl/>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处罚</w:t>
            </w:r>
          </w:p>
        </w:tc>
        <w:tc>
          <w:tcPr>
            <w:tcW w:w="1170"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rPr>
                <w:rFonts w:hint="eastAsia" w:ascii="Times New Roman" w:hAnsi="Times New Roman" w:eastAsia="仿宋_GB2312" w:cs="Times New Roman"/>
                <w:sz w:val="24"/>
                <w:szCs w:val="24"/>
                <w:lang w:bidi="ar-SA"/>
              </w:rPr>
            </w:pPr>
            <w:r>
              <w:rPr>
                <w:rFonts w:hint="eastAsia" w:ascii="Times New Roman" w:hAnsi="Times New Roman" w:eastAsia="仿宋_GB2312" w:cs="宋体"/>
                <w:sz w:val="24"/>
                <w:lang w:bidi="ar-SA"/>
              </w:rPr>
              <w:t>对非法从事出版物发行活动的行政处罚</w:t>
            </w:r>
          </w:p>
        </w:tc>
        <w:tc>
          <w:tcPr>
            <w:tcW w:w="1849"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处罚对象、案件名称、违法主要事实、处罚种类和内容、处罚依据、作出处罚决定部门、处罚时间、处罚结果、处罚决定书文号、处罚履行方式和期限等。</w:t>
            </w:r>
          </w:p>
        </w:tc>
        <w:tc>
          <w:tcPr>
            <w:tcW w:w="2545"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1.《出版管理条例》；</w:t>
            </w:r>
          </w:p>
          <w:p>
            <w:pPr>
              <w:widowControl/>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2.《出版物市场管理规定》；</w:t>
            </w:r>
          </w:p>
          <w:p>
            <w:pPr>
              <w:widowControl/>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3.《国务院关于促进市场公平竞争维护市场正常秩序的若干意见》；</w:t>
            </w:r>
          </w:p>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4.《国务院办公厅关于全面推行行政执法公示制度执法全过程记录制度重大执法决定法制审核制度的指导意见》；</w:t>
            </w:r>
          </w:p>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5.《中华人民共和国政府信息公开条例》；</w:t>
            </w:r>
          </w:p>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6.《关于全面推进政务公开工作的意见》</w:t>
            </w:r>
            <w:r>
              <w:rPr>
                <w:rFonts w:ascii="Times New Roman" w:hAnsi="Times New Roman" w:eastAsia="仿宋_GB2312" w:cs="宋体"/>
                <w:sz w:val="24"/>
                <w:lang w:bidi="ar-SA"/>
              </w:rPr>
              <w:t>。</w:t>
            </w:r>
          </w:p>
        </w:tc>
        <w:tc>
          <w:tcPr>
            <w:tcW w:w="1140"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执法决定信息在决定作出之日起7个工作日内公开，其他相关信息形成或变更之日起20个工作日内公开</w:t>
            </w:r>
          </w:p>
        </w:tc>
        <w:tc>
          <w:tcPr>
            <w:tcW w:w="980"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rPr>
                <w:rFonts w:hint="eastAsia" w:ascii="Times New Roman" w:hAnsi="Times New Roman" w:eastAsia="仿宋_GB2312" w:cs="宋体"/>
                <w:sz w:val="24"/>
                <w:lang w:eastAsia="zh-CN" w:bidi="ar-SA"/>
              </w:rPr>
            </w:pPr>
            <w:r>
              <w:rPr>
                <w:rFonts w:hint="eastAsia" w:ascii="宋体" w:hAnsi="宋体" w:eastAsia="宋体" w:cs="宋体"/>
                <w:i w:val="0"/>
                <w:color w:val="auto"/>
                <w:kern w:val="0"/>
                <w:sz w:val="20"/>
                <w:szCs w:val="20"/>
                <w:u w:val="none"/>
                <w:lang w:val="en-US" w:eastAsia="zh-CN"/>
              </w:rPr>
              <w:t>济源产城融合示范区文化广电和旅游局</w:t>
            </w:r>
          </w:p>
        </w:tc>
        <w:tc>
          <w:tcPr>
            <w:tcW w:w="1795" w:type="dxa"/>
            <w:tcBorders>
              <w:top w:val="single" w:color="000000" w:sz="6" w:space="0"/>
              <w:left w:val="single" w:color="000000" w:sz="6" w:space="0"/>
              <w:bottom w:val="single" w:color="000000" w:sz="6" w:space="0"/>
              <w:right w:val="nil"/>
            </w:tcBorders>
            <w:tcMar>
              <w:left w:w="115" w:type="dxa"/>
            </w:tcMar>
            <w:textDirection w:val="lrTb"/>
            <w:vAlign w:val="center"/>
          </w:tcPr>
          <w:p>
            <w:pPr>
              <w:widowControl/>
              <w:wordWrap/>
              <w:overflowPunct w:val="0"/>
              <w:autoSpaceDE w:val="0"/>
              <w:autoSpaceDN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rPr>
            </w:pPr>
            <w:r>
              <w:rPr>
                <w:rFonts w:hint="eastAsia" w:ascii="宋体" w:hAnsi="宋体" w:eastAsia="宋体" w:cs="宋体"/>
                <w:i w:val="0"/>
                <w:color w:val="auto"/>
                <w:kern w:val="0"/>
                <w:sz w:val="20"/>
                <w:szCs w:val="20"/>
                <w:u w:val="none"/>
                <w:lang w:val="en-US" w:eastAsia="zh-CN"/>
              </w:rPr>
              <w:t>政府网站；政务服务中心；</w:t>
            </w:r>
          </w:p>
          <w:p>
            <w:pPr>
              <w:widowControl/>
              <w:spacing w:line="320" w:lineRule="exact"/>
              <w:jc w:val="left"/>
              <w:rPr>
                <w:rFonts w:hint="eastAsia" w:ascii="Times New Roman" w:hAnsi="Times New Roman" w:eastAsia="仿宋_GB2312" w:cs="Times New Roman"/>
                <w:color w:val="auto"/>
                <w:kern w:val="0"/>
                <w:sz w:val="24"/>
                <w:szCs w:val="24"/>
                <w:shd w:val="clear" w:color="auto" w:fill="FFFFFF"/>
                <w:lang w:bidi="ar-SA"/>
              </w:rPr>
            </w:pPr>
            <w:r>
              <w:rPr>
                <w:rFonts w:hint="eastAsia" w:ascii="宋体" w:hAnsi="宋体" w:eastAsia="宋体" w:cs="宋体"/>
                <w:i w:val="0"/>
                <w:color w:val="auto"/>
                <w:kern w:val="0"/>
                <w:sz w:val="20"/>
                <w:szCs w:val="20"/>
                <w:u w:val="none"/>
                <w:lang w:val="en-US" w:eastAsia="zh-CN"/>
              </w:rPr>
              <w:t>公开查阅点</w:t>
            </w:r>
            <w:r>
              <w:rPr>
                <w:rFonts w:hint="eastAsia" w:ascii="Times New Roman" w:hAnsi="Times New Roman" w:eastAsia="仿宋_GB2312" w:cs="Times New Roman"/>
                <w:kern w:val="0"/>
                <w:sz w:val="16"/>
                <w:szCs w:val="15"/>
                <w:shd w:val="clear" w:color="auto" w:fill="FFFFFF"/>
                <w:lang w:bidi="ar-SA"/>
              </w:rPr>
              <w:t xml:space="preserve"> </w:t>
            </w:r>
          </w:p>
        </w:tc>
        <w:tc>
          <w:tcPr>
            <w:tcW w:w="435"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w:t>
            </w:r>
          </w:p>
        </w:tc>
        <w:tc>
          <w:tcPr>
            <w:tcW w:w="705"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　</w:t>
            </w:r>
          </w:p>
        </w:tc>
        <w:tc>
          <w:tcPr>
            <w:tcW w:w="465"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w:t>
            </w:r>
          </w:p>
        </w:tc>
        <w:tc>
          <w:tcPr>
            <w:tcW w:w="840"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　</w:t>
            </w:r>
          </w:p>
        </w:tc>
        <w:tc>
          <w:tcPr>
            <w:tcW w:w="480"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w:t>
            </w:r>
          </w:p>
        </w:tc>
        <w:tc>
          <w:tcPr>
            <w:tcW w:w="484" w:type="dxa"/>
            <w:tcBorders>
              <w:top w:val="single" w:color="000000" w:sz="6" w:space="0"/>
              <w:left w:val="single" w:color="000000" w:sz="6" w:space="0"/>
              <w:bottom w:val="single" w:color="000000" w:sz="6" w:space="0"/>
              <w:right w:val="single" w:color="000000" w:sz="6" w:space="0"/>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　</w:t>
            </w:r>
          </w:p>
        </w:tc>
      </w:tr>
      <w:tr>
        <w:trPr>
          <w:trHeight w:val="2092" w:hRule="atLeast"/>
          <w:jc w:val="center"/>
        </w:trPr>
        <w:tc>
          <w:tcPr>
            <w:tcW w:w="675" w:type="dxa"/>
            <w:tcBorders>
              <w:top w:val="single" w:color="000000" w:sz="6" w:space="0"/>
              <w:left w:val="single" w:color="000000" w:sz="6" w:space="0"/>
              <w:bottom w:val="single" w:color="000000" w:sz="6" w:space="0"/>
              <w:right w:val="nil"/>
            </w:tcBorders>
            <w:vAlign w:val="center"/>
          </w:tcPr>
          <w:p>
            <w:pPr>
              <w:widowControl/>
              <w:spacing w:after="180"/>
              <w:jc w:val="center"/>
              <w:rPr>
                <w:rFonts w:hint="eastAsia" w:ascii="Times New Roman" w:hAnsi="Times New Roman" w:eastAsia="仿宋_GB2312" w:cs="宋体"/>
                <w:sz w:val="24"/>
                <w:lang w:val="en-US" w:eastAsia="zh-CN" w:bidi="ar-SA"/>
              </w:rPr>
            </w:pPr>
            <w:r>
              <w:rPr>
                <w:rFonts w:hint="eastAsia" w:ascii="Times New Roman" w:hAnsi="Times New Roman" w:eastAsia="仿宋_GB2312" w:cs="宋体"/>
                <w:sz w:val="24"/>
                <w:lang w:val="en-US" w:eastAsia="zh-CN" w:bidi="ar-SA"/>
              </w:rPr>
              <w:t>8</w:t>
            </w:r>
          </w:p>
        </w:tc>
        <w:tc>
          <w:tcPr>
            <w:tcW w:w="825"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jc w:val="center"/>
              <w:rPr>
                <w:rFonts w:ascii="Times New Roman" w:hAnsi="Times New Roman" w:eastAsia="仿宋_GB2312" w:cs="宋体"/>
                <w:sz w:val="24"/>
                <w:lang w:bidi="ar-SA"/>
              </w:rPr>
            </w:pPr>
            <w:r>
              <w:rPr>
                <w:rFonts w:hint="eastAsia" w:ascii="Times New Roman" w:hAnsi="Times New Roman" w:eastAsia="仿宋_GB2312" w:cs="宋体"/>
                <w:sz w:val="24"/>
                <w:lang w:bidi="ar-SA"/>
              </w:rPr>
              <w:t>行政</w:t>
            </w:r>
          </w:p>
          <w:p>
            <w:pPr>
              <w:widowControl/>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处罚</w:t>
            </w:r>
          </w:p>
        </w:tc>
        <w:tc>
          <w:tcPr>
            <w:tcW w:w="1170"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rPr>
                <w:rFonts w:hint="eastAsia" w:ascii="Times New Roman" w:hAnsi="Times New Roman" w:eastAsia="仿宋_GB2312" w:cs="Times New Roman"/>
                <w:sz w:val="24"/>
                <w:szCs w:val="24"/>
                <w:lang w:bidi="ar-SA"/>
              </w:rPr>
            </w:pPr>
            <w:r>
              <w:rPr>
                <w:rFonts w:hint="eastAsia" w:ascii="Times New Roman" w:hAnsi="Times New Roman" w:eastAsia="仿宋_GB2312" w:cs="宋体"/>
                <w:sz w:val="24"/>
                <w:lang w:bidi="ar-SA"/>
              </w:rPr>
              <w:t>对损害公共利益的有关著作权侵权行为作出行政处罚</w:t>
            </w:r>
          </w:p>
        </w:tc>
        <w:tc>
          <w:tcPr>
            <w:tcW w:w="1849"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处罚对象、案件名称、违法主要事实、处罚种类和内容、处罚依据、作出处罚决定部门、处罚时间、处罚结果、处罚决定书文号、处罚履行方式和期限等。</w:t>
            </w:r>
          </w:p>
        </w:tc>
        <w:tc>
          <w:tcPr>
            <w:tcW w:w="2545"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1.《</w:t>
            </w:r>
            <w:r>
              <w:rPr>
                <w:rFonts w:ascii="Times New Roman" w:hAnsi="Times New Roman" w:eastAsia="仿宋_GB2312" w:cs="宋体"/>
                <w:sz w:val="24"/>
                <w:lang w:bidi="ar-SA"/>
              </w:rPr>
              <w:t>中华人民共和国</w:t>
            </w:r>
            <w:r>
              <w:rPr>
                <w:rFonts w:hint="eastAsia" w:ascii="Times New Roman" w:hAnsi="Times New Roman" w:eastAsia="仿宋_GB2312" w:cs="宋体"/>
                <w:sz w:val="24"/>
                <w:lang w:bidi="ar-SA"/>
              </w:rPr>
              <w:t>著作权法》；</w:t>
            </w:r>
          </w:p>
          <w:p>
            <w:pPr>
              <w:widowControl/>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2.《</w:t>
            </w:r>
            <w:r>
              <w:rPr>
                <w:rFonts w:ascii="Times New Roman" w:hAnsi="Times New Roman" w:eastAsia="仿宋_GB2312" w:cs="宋体"/>
                <w:sz w:val="24"/>
                <w:lang w:bidi="ar-SA"/>
              </w:rPr>
              <w:t>中华人民共和国</w:t>
            </w:r>
            <w:r>
              <w:rPr>
                <w:rFonts w:hint="eastAsia" w:ascii="Times New Roman" w:hAnsi="Times New Roman" w:eastAsia="仿宋_GB2312" w:cs="宋体"/>
                <w:sz w:val="24"/>
                <w:lang w:bidi="ar-SA"/>
              </w:rPr>
              <w:t>著作权法实施条例》；</w:t>
            </w:r>
          </w:p>
          <w:p>
            <w:pPr>
              <w:widowControl/>
              <w:rPr>
                <w:rFonts w:hint="eastAsia" w:ascii="Times New Roman" w:hAnsi="Times New Roman" w:eastAsia="仿宋_GB2312" w:cs="Times New Roman"/>
                <w:sz w:val="19"/>
                <w:szCs w:val="19"/>
                <w:lang w:bidi="ar-SA"/>
              </w:rPr>
            </w:pPr>
            <w:r>
              <w:rPr>
                <w:rFonts w:hint="eastAsia" w:ascii="Times New Roman" w:hAnsi="Times New Roman" w:eastAsia="仿宋_GB2312" w:cs="宋体"/>
                <w:sz w:val="24"/>
                <w:lang w:bidi="ar-SA"/>
              </w:rPr>
              <w:t>3.《计算机软件保护条例》；</w:t>
            </w:r>
          </w:p>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4.《信息网络传播权保护条例》；</w:t>
            </w:r>
          </w:p>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5.《中华人民共和国政府信息公开条例》；</w:t>
            </w:r>
          </w:p>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6.《关于全面推进政务公开工作的意见》</w:t>
            </w:r>
            <w:r>
              <w:rPr>
                <w:rFonts w:ascii="Times New Roman" w:hAnsi="Times New Roman" w:eastAsia="仿宋_GB2312" w:cs="宋体"/>
                <w:sz w:val="24"/>
                <w:lang w:bidi="ar-SA"/>
              </w:rPr>
              <w:t>。</w:t>
            </w:r>
          </w:p>
        </w:tc>
        <w:tc>
          <w:tcPr>
            <w:tcW w:w="1140"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执法决定信息在决定作出之日起7个工作日内公开，其他相关信息形成或变更之日起20个工作日内公开</w:t>
            </w:r>
          </w:p>
        </w:tc>
        <w:tc>
          <w:tcPr>
            <w:tcW w:w="980"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rPr>
                <w:rFonts w:hint="eastAsia" w:ascii="Times New Roman" w:hAnsi="Times New Roman" w:eastAsia="仿宋_GB2312" w:cs="宋体"/>
                <w:sz w:val="24"/>
                <w:lang w:eastAsia="zh-CN" w:bidi="ar-SA"/>
              </w:rPr>
            </w:pPr>
            <w:r>
              <w:rPr>
                <w:rFonts w:hint="eastAsia" w:ascii="宋体" w:hAnsi="宋体" w:eastAsia="宋体" w:cs="宋体"/>
                <w:i w:val="0"/>
                <w:color w:val="auto"/>
                <w:kern w:val="0"/>
                <w:sz w:val="20"/>
                <w:szCs w:val="20"/>
                <w:u w:val="none"/>
                <w:lang w:val="en-US" w:eastAsia="zh-CN"/>
              </w:rPr>
              <w:t>济源产城融合示范区文化广电和旅游局</w:t>
            </w:r>
          </w:p>
        </w:tc>
        <w:tc>
          <w:tcPr>
            <w:tcW w:w="1795" w:type="dxa"/>
            <w:tcBorders>
              <w:top w:val="single" w:color="000000" w:sz="6" w:space="0"/>
              <w:left w:val="single" w:color="000000" w:sz="6" w:space="0"/>
              <w:bottom w:val="single" w:color="000000" w:sz="6" w:space="0"/>
              <w:right w:val="nil"/>
            </w:tcBorders>
            <w:tcMar>
              <w:left w:w="115" w:type="dxa"/>
            </w:tcMar>
            <w:textDirection w:val="lrTb"/>
            <w:vAlign w:val="center"/>
          </w:tcPr>
          <w:p>
            <w:pPr>
              <w:widowControl/>
              <w:wordWrap/>
              <w:overflowPunct w:val="0"/>
              <w:autoSpaceDE w:val="0"/>
              <w:autoSpaceDN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rPr>
            </w:pPr>
            <w:r>
              <w:rPr>
                <w:rFonts w:hint="eastAsia" w:ascii="宋体" w:hAnsi="宋体" w:eastAsia="宋体" w:cs="宋体"/>
                <w:i w:val="0"/>
                <w:color w:val="auto"/>
                <w:kern w:val="0"/>
                <w:sz w:val="20"/>
                <w:szCs w:val="20"/>
                <w:u w:val="none"/>
                <w:lang w:val="en-US" w:eastAsia="zh-CN"/>
              </w:rPr>
              <w:t>政府网站；政务服务中心；</w:t>
            </w:r>
          </w:p>
          <w:p>
            <w:pPr>
              <w:widowControl/>
              <w:spacing w:line="320" w:lineRule="exact"/>
              <w:jc w:val="left"/>
              <w:rPr>
                <w:rFonts w:hint="eastAsia" w:ascii="Times New Roman" w:hAnsi="Times New Roman" w:eastAsia="仿宋_GB2312" w:cs="Times New Roman"/>
                <w:color w:val="auto"/>
                <w:kern w:val="0"/>
                <w:sz w:val="24"/>
                <w:szCs w:val="24"/>
                <w:shd w:val="clear" w:color="auto" w:fill="FFFFFF"/>
                <w:lang w:bidi="ar-SA"/>
              </w:rPr>
            </w:pPr>
            <w:r>
              <w:rPr>
                <w:rFonts w:hint="eastAsia" w:ascii="宋体" w:hAnsi="宋体" w:eastAsia="宋体" w:cs="宋体"/>
                <w:i w:val="0"/>
                <w:color w:val="auto"/>
                <w:kern w:val="0"/>
                <w:sz w:val="20"/>
                <w:szCs w:val="20"/>
                <w:u w:val="none"/>
                <w:lang w:val="en-US" w:eastAsia="zh-CN"/>
              </w:rPr>
              <w:t>公开查阅点</w:t>
            </w:r>
          </w:p>
        </w:tc>
        <w:tc>
          <w:tcPr>
            <w:tcW w:w="435"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w:t>
            </w:r>
          </w:p>
        </w:tc>
        <w:tc>
          <w:tcPr>
            <w:tcW w:w="705"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　</w:t>
            </w:r>
          </w:p>
        </w:tc>
        <w:tc>
          <w:tcPr>
            <w:tcW w:w="465"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w:t>
            </w:r>
          </w:p>
        </w:tc>
        <w:tc>
          <w:tcPr>
            <w:tcW w:w="840"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　</w:t>
            </w:r>
          </w:p>
        </w:tc>
        <w:tc>
          <w:tcPr>
            <w:tcW w:w="480"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w:t>
            </w:r>
          </w:p>
        </w:tc>
        <w:tc>
          <w:tcPr>
            <w:tcW w:w="484" w:type="dxa"/>
            <w:tcBorders>
              <w:top w:val="single" w:color="000000" w:sz="6" w:space="0"/>
              <w:left w:val="single" w:color="000000" w:sz="6" w:space="0"/>
              <w:bottom w:val="single" w:color="000000" w:sz="6" w:space="0"/>
              <w:right w:val="single" w:color="000000" w:sz="6" w:space="0"/>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p>
        </w:tc>
      </w:tr>
      <w:tr>
        <w:trPr>
          <w:trHeight w:val="2092" w:hRule="atLeast"/>
          <w:jc w:val="center"/>
        </w:trPr>
        <w:tc>
          <w:tcPr>
            <w:tcW w:w="675" w:type="dxa"/>
            <w:tcBorders>
              <w:top w:val="single" w:color="000000" w:sz="6" w:space="0"/>
              <w:left w:val="single" w:color="000000" w:sz="6" w:space="0"/>
              <w:bottom w:val="single" w:color="000000" w:sz="6" w:space="0"/>
              <w:right w:val="nil"/>
            </w:tcBorders>
            <w:vAlign w:val="center"/>
          </w:tcPr>
          <w:p>
            <w:pPr>
              <w:widowControl/>
              <w:spacing w:after="180"/>
              <w:jc w:val="center"/>
              <w:rPr>
                <w:rFonts w:hint="eastAsia" w:ascii="Times New Roman" w:hAnsi="Times New Roman" w:eastAsia="仿宋_GB2312" w:cs="宋体"/>
                <w:sz w:val="24"/>
                <w:lang w:val="en-US" w:eastAsia="zh-CN" w:bidi="ar-SA"/>
              </w:rPr>
            </w:pPr>
            <w:r>
              <w:rPr>
                <w:rFonts w:hint="eastAsia" w:ascii="Times New Roman" w:hAnsi="Times New Roman" w:eastAsia="仿宋_GB2312" w:cs="宋体"/>
                <w:sz w:val="24"/>
                <w:lang w:val="en-US" w:eastAsia="zh-CN" w:bidi="ar-SA"/>
              </w:rPr>
              <w:t>9</w:t>
            </w:r>
            <w:bookmarkStart w:id="0" w:name="_GoBack"/>
            <w:bookmarkEnd w:id="0"/>
          </w:p>
        </w:tc>
        <w:tc>
          <w:tcPr>
            <w:tcW w:w="825"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jc w:val="center"/>
              <w:rPr>
                <w:rFonts w:ascii="Times New Roman" w:hAnsi="Times New Roman" w:eastAsia="仿宋_GB2312" w:cs="宋体"/>
                <w:sz w:val="24"/>
                <w:lang w:bidi="ar-SA"/>
              </w:rPr>
            </w:pPr>
            <w:r>
              <w:rPr>
                <w:rFonts w:hint="eastAsia" w:ascii="Times New Roman" w:hAnsi="Times New Roman" w:eastAsia="仿宋_GB2312" w:cs="宋体"/>
                <w:sz w:val="24"/>
                <w:lang w:bidi="ar-SA"/>
              </w:rPr>
              <w:t>行政</w:t>
            </w:r>
          </w:p>
          <w:p>
            <w:pPr>
              <w:widowControl/>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处罚</w:t>
            </w:r>
          </w:p>
        </w:tc>
        <w:tc>
          <w:tcPr>
            <w:tcW w:w="1170"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rPr>
                <w:rFonts w:hint="eastAsia" w:ascii="Times New Roman" w:hAnsi="Times New Roman" w:eastAsia="仿宋_GB2312" w:cs="Times New Roman"/>
                <w:sz w:val="24"/>
                <w:szCs w:val="24"/>
                <w:lang w:bidi="ar-SA"/>
              </w:rPr>
            </w:pPr>
            <w:r>
              <w:rPr>
                <w:rFonts w:hint="eastAsia" w:ascii="Times New Roman" w:hAnsi="Times New Roman" w:eastAsia="仿宋_GB2312" w:cs="宋体"/>
                <w:sz w:val="24"/>
                <w:lang w:bidi="ar-SA"/>
              </w:rPr>
              <w:t>对违反《信息网络传播权保护条例》的有关行为作出行政处罚</w:t>
            </w:r>
          </w:p>
        </w:tc>
        <w:tc>
          <w:tcPr>
            <w:tcW w:w="1849"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处罚对象、案件名称、违法主要事实、处罚种类和内容、处罚依据、作出处罚决定部门、处罚时间、处罚结果、处罚决定书文号、处罚履行方式和期限等。</w:t>
            </w:r>
          </w:p>
        </w:tc>
        <w:tc>
          <w:tcPr>
            <w:tcW w:w="2545"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1.《信息网络传播权保护条例》；</w:t>
            </w:r>
          </w:p>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2.《中华人民共和国政府信息公开条例》；</w:t>
            </w:r>
          </w:p>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3.《关于全面推进政务公开工作的意见》</w:t>
            </w:r>
            <w:r>
              <w:rPr>
                <w:rFonts w:ascii="Times New Roman" w:hAnsi="Times New Roman" w:eastAsia="仿宋_GB2312" w:cs="宋体"/>
                <w:sz w:val="24"/>
                <w:lang w:bidi="ar-SA"/>
              </w:rPr>
              <w:t>。</w:t>
            </w:r>
          </w:p>
        </w:tc>
        <w:tc>
          <w:tcPr>
            <w:tcW w:w="1140"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执法决定信息在决定作出之日起7个工作日内公开，其他相关信息形成或变更之日起20个工作日内公开</w:t>
            </w:r>
          </w:p>
        </w:tc>
        <w:tc>
          <w:tcPr>
            <w:tcW w:w="980"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rPr>
                <w:rFonts w:hint="eastAsia" w:ascii="Times New Roman" w:hAnsi="Times New Roman" w:eastAsia="仿宋_GB2312" w:cs="宋体"/>
                <w:sz w:val="24"/>
                <w:lang w:eastAsia="zh-CN" w:bidi="ar-SA"/>
              </w:rPr>
            </w:pPr>
            <w:r>
              <w:rPr>
                <w:rFonts w:hint="eastAsia" w:ascii="宋体" w:hAnsi="宋体" w:eastAsia="宋体" w:cs="宋体"/>
                <w:i w:val="0"/>
                <w:color w:val="auto"/>
                <w:kern w:val="0"/>
                <w:sz w:val="20"/>
                <w:szCs w:val="20"/>
                <w:u w:val="none"/>
                <w:lang w:val="en-US" w:eastAsia="zh-CN"/>
              </w:rPr>
              <w:t>济源产城融合示范区文化广电和旅游局</w:t>
            </w:r>
          </w:p>
        </w:tc>
        <w:tc>
          <w:tcPr>
            <w:tcW w:w="1795" w:type="dxa"/>
            <w:tcBorders>
              <w:top w:val="single" w:color="000000" w:sz="6" w:space="0"/>
              <w:left w:val="single" w:color="000000" w:sz="6" w:space="0"/>
              <w:bottom w:val="single" w:color="000000" w:sz="6" w:space="0"/>
              <w:right w:val="nil"/>
            </w:tcBorders>
            <w:tcMar>
              <w:left w:w="115" w:type="dxa"/>
            </w:tcMar>
            <w:textDirection w:val="lrTb"/>
            <w:vAlign w:val="center"/>
          </w:tcPr>
          <w:p>
            <w:pPr>
              <w:widowControl/>
              <w:wordWrap/>
              <w:overflowPunct w:val="0"/>
              <w:autoSpaceDE w:val="0"/>
              <w:autoSpaceDN w:val="0"/>
              <w:adjustRightInd w:val="0"/>
              <w:snapToGrid w:val="0"/>
              <w:spacing w:line="280" w:lineRule="exact"/>
              <w:jc w:val="left"/>
              <w:textAlignment w:val="center"/>
              <w:rPr>
                <w:rFonts w:hint="eastAsia" w:ascii="宋体" w:hAnsi="宋体" w:eastAsia="宋体" w:cs="宋体"/>
                <w:i w:val="0"/>
                <w:color w:val="auto"/>
                <w:kern w:val="0"/>
                <w:sz w:val="20"/>
                <w:szCs w:val="20"/>
                <w:u w:val="none"/>
                <w:lang w:val="en-US" w:eastAsia="zh-CN"/>
              </w:rPr>
            </w:pPr>
            <w:r>
              <w:rPr>
                <w:rFonts w:hint="eastAsia" w:ascii="宋体" w:hAnsi="宋体" w:eastAsia="宋体" w:cs="宋体"/>
                <w:i w:val="0"/>
                <w:color w:val="auto"/>
                <w:kern w:val="0"/>
                <w:sz w:val="20"/>
                <w:szCs w:val="20"/>
                <w:u w:val="none"/>
                <w:lang w:val="en-US" w:eastAsia="zh-CN"/>
              </w:rPr>
              <w:t>政府网站；政务服务中心；</w:t>
            </w:r>
          </w:p>
          <w:p>
            <w:pPr>
              <w:spacing w:line="320" w:lineRule="exact"/>
              <w:jc w:val="left"/>
              <w:rPr>
                <w:rFonts w:hint="eastAsia" w:ascii="Times New Roman" w:hAnsi="Times New Roman" w:eastAsia="仿宋_GB2312" w:cs="Times New Roman"/>
                <w:color w:val="auto"/>
                <w:kern w:val="0"/>
                <w:sz w:val="24"/>
                <w:szCs w:val="24"/>
                <w:shd w:val="clear" w:color="auto" w:fill="FFFFFF"/>
                <w:lang w:bidi="ar-SA"/>
              </w:rPr>
            </w:pPr>
            <w:r>
              <w:rPr>
                <w:rFonts w:hint="eastAsia" w:ascii="宋体" w:hAnsi="宋体" w:eastAsia="宋体" w:cs="宋体"/>
                <w:i w:val="0"/>
                <w:color w:val="auto"/>
                <w:kern w:val="0"/>
                <w:sz w:val="20"/>
                <w:szCs w:val="20"/>
                <w:u w:val="none"/>
                <w:lang w:val="en-US" w:eastAsia="zh-CN"/>
              </w:rPr>
              <w:t>公开查阅点</w:t>
            </w:r>
          </w:p>
        </w:tc>
        <w:tc>
          <w:tcPr>
            <w:tcW w:w="435"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w:t>
            </w:r>
          </w:p>
        </w:tc>
        <w:tc>
          <w:tcPr>
            <w:tcW w:w="705"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　</w:t>
            </w:r>
          </w:p>
        </w:tc>
        <w:tc>
          <w:tcPr>
            <w:tcW w:w="465"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w:t>
            </w:r>
          </w:p>
        </w:tc>
        <w:tc>
          <w:tcPr>
            <w:tcW w:w="840"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　</w:t>
            </w:r>
          </w:p>
        </w:tc>
        <w:tc>
          <w:tcPr>
            <w:tcW w:w="480" w:type="dxa"/>
            <w:tcBorders>
              <w:top w:val="single" w:color="000000" w:sz="6" w:space="0"/>
              <w:left w:val="single" w:color="000000" w:sz="6" w:space="0"/>
              <w:bottom w:val="single" w:color="000000" w:sz="6" w:space="0"/>
              <w:right w:val="nil"/>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r>
              <w:rPr>
                <w:rFonts w:hint="eastAsia" w:ascii="Times New Roman" w:hAnsi="Times New Roman" w:eastAsia="仿宋_GB2312" w:cs="宋体"/>
                <w:sz w:val="24"/>
                <w:lang w:bidi="ar-SA"/>
              </w:rPr>
              <w:t>√</w:t>
            </w:r>
          </w:p>
        </w:tc>
        <w:tc>
          <w:tcPr>
            <w:tcW w:w="484" w:type="dxa"/>
            <w:tcBorders>
              <w:top w:val="single" w:color="000000" w:sz="6" w:space="0"/>
              <w:left w:val="single" w:color="000000" w:sz="6" w:space="0"/>
              <w:bottom w:val="single" w:color="000000" w:sz="6" w:space="0"/>
              <w:right w:val="single" w:color="000000" w:sz="6" w:space="0"/>
            </w:tcBorders>
            <w:tcMar>
              <w:left w:w="28" w:type="dxa"/>
              <w:right w:w="28" w:type="dxa"/>
            </w:tcMar>
            <w:textDirection w:val="lrTb"/>
            <w:vAlign w:val="center"/>
          </w:tcPr>
          <w:p>
            <w:pPr>
              <w:widowControl/>
              <w:spacing w:after="180"/>
              <w:jc w:val="center"/>
              <w:rPr>
                <w:rFonts w:hint="eastAsia" w:ascii="Times New Roman" w:hAnsi="Times New Roman" w:eastAsia="仿宋_GB2312" w:cs="宋体"/>
                <w:sz w:val="24"/>
                <w:lang w:bidi="ar-SA"/>
              </w:rPr>
            </w:pPr>
          </w:p>
        </w:tc>
      </w:tr>
    </w:tbl>
    <w:p>
      <w:pPr>
        <w:widowControl/>
        <w:shd w:val="clear" w:color="auto" w:fill="FFFFFF"/>
        <w:spacing w:line="450" w:lineRule="atLeast"/>
      </w:pPr>
    </w:p>
    <w:sectPr>
      <w:footerReference r:id="rId4" w:type="default"/>
      <w:pgSz w:w="16840" w:h="11907" w:orient="landscape"/>
      <w:pgMar w:top="1094" w:right="1440" w:bottom="1457" w:left="2381" w:header="851" w:footer="992" w:gutter="0"/>
      <w:pgNumType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方正小标宋简体">
    <w:altName w:val="微软雅黑"/>
    <w:panose1 w:val="02000000000000000000"/>
    <w:charset w:val="86"/>
    <w:family w:val="auto"/>
    <w:pitch w:val="default"/>
    <w:sig w:usb0="A00002BF" w:usb1="184F6CFA" w:usb2="00000012" w:usb3="00000000" w:csb0="00040001" w:csb1="00000000"/>
  </w:font>
  <w:font w:name="方正黑体_GBK">
    <w:altName w:val="黑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E7006EFF" w:usb1="D200FDFF" w:usb2="0A246029" w:usb3="0400200C" w:csb0="600001FF" w:csb1="DFFF0000"/>
  </w:font>
  <w:font w:name="方正书宋_GBK">
    <w:altName w:val="宋体"/>
    <w:panose1 w:val="02000000000000000000"/>
    <w:charset w:val="86"/>
    <w:family w:val="auto"/>
    <w:pitch w:val="default"/>
    <w:sig w:usb0="00000001" w:usb1="08000000" w:usb2="00000000" w:usb3="00000000" w:csb0="00040000" w:csb1="00000000"/>
  </w:font>
  <w:font w:name="Nimbus Roman No9 L">
    <w:altName w:val="Microsoft YaHei UI"/>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Microsoft YaHei UI">
    <w:panose1 w:val="020B0503020204020204"/>
    <w:charset w:val="86"/>
    <w:family w:val="auto"/>
    <w:pitch w:val="default"/>
    <w:sig w:usb0="80000287" w:usb1="2ACF3C50" w:usb2="00000016" w:usb3="00000000" w:csb0="0004001F" w:csb1="00000000"/>
  </w:font>
  <w:font w:name="DejaVu Math TeX Gyre">
    <w:altName w:val="Consolas"/>
    <w:panose1 w:val="02000503000000000000"/>
    <w:charset w:val="00"/>
    <w:family w:val="auto"/>
    <w:pitch w:val="default"/>
    <w:sig w:usb0="A10000EF" w:usb1="4201F9EE" w:usb2="02000000" w:usb3="00000000" w:csb0="60000193" w:csb1="0DD40000"/>
  </w:font>
  <w:font w:name="Consolas">
    <w:panose1 w:val="020B0609020204030204"/>
    <w:charset w:val="00"/>
    <w:family w:val="auto"/>
    <w:pitch w:val="default"/>
    <w:sig w:usb0="E00006FF" w:usb1="0000FCFF" w:usb2="00000001"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displayBackgroundShape w:val="1"/>
  <w:bordersDoNotSurroundHeader w:val="1"/>
  <w:bordersDoNotSurroundFooter w:val="1"/>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简体" w:cs="Times New Roman"/>
        <w:lang w:val="en-US" w:eastAsia="zh-CN" w:bidi="ar-SA"/>
      </w:rPr>
    </w:rPrDefault>
  </w:docDefaults>
  <w:style w:type="paragraph" w:default="1" w:styleId="1">
    <w:name w:val="Normal"/>
    <w:pPr>
      <w:widowControl w:val="0"/>
      <w:jc w:val="both"/>
    </w:pPr>
    <w:rPr>
      <w:rFonts w:ascii="Calibri" w:hAnsi="Calibri" w:eastAsia="宋体" w:cs="Arial"/>
      <w:kern w:val="2"/>
      <w:sz w:val="21"/>
      <w:szCs w:val="24"/>
      <w:lang w:val="en-US" w:eastAsia="zh-CN" w:bidi="ar-SA"/>
    </w:rPr>
  </w:style>
  <w:style w:type="paragraph" w:styleId="2">
    <w:name w:val="heading 1"/>
    <w:next w:val="1"/>
    <w:pPr>
      <w:keepNext/>
      <w:keepLines/>
      <w:widowControl w:val="0"/>
      <w:spacing w:before="340" w:after="330" w:line="578" w:lineRule="auto"/>
      <w:jc w:val="both"/>
      <w:outlineLvl w:val="0"/>
    </w:pPr>
    <w:rPr>
      <w:rFonts w:ascii="Calibri" w:hAnsi="Calibri" w:eastAsia="宋体" w:cs="Arial"/>
      <w:b/>
      <w:bCs/>
      <w:kern w:val="44"/>
      <w:sz w:val="44"/>
      <w:szCs w:val="44"/>
      <w:lang w:val="en-US" w:eastAsia="zh-CN" w:bidi="ar-SA"/>
    </w:rPr>
  </w:style>
  <w:style w:type="paragraph" w:styleId="3">
    <w:name w:val="heading 2"/>
    <w:basedOn w:val="1"/>
    <w:next w:val="1"/>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pPr>
      <w:keepNext/>
      <w:keepLines/>
      <w:widowControl w:val="0"/>
      <w:spacing w:before="260" w:after="260" w:line="415" w:lineRule="auto"/>
      <w:outlineLvl w:val="2"/>
    </w:pPr>
    <w:rPr>
      <w:b/>
      <w:sz w:val="32"/>
    </w:rPr>
  </w:style>
  <w:style w:type="character" w:default="1" w:styleId="8">
    <w:name w:val="Default Paragraph Font"/>
  </w:style>
  <w:style w:type="paragraph" w:styleId="5">
    <w:name w:val="Body Text"/>
    <w:basedOn w:val="1"/>
    <w:pPr>
      <w:spacing w:after="120" w:afterAutospacing="0"/>
    </w:pPr>
  </w:style>
  <w:style w:type="paragraph" w:styleId="6">
    <w:name w:val="footer"/>
    <w:pPr>
      <w:widowControl w:val="0"/>
      <w:tabs>
        <w:tab w:val="center" w:pos="4153"/>
        <w:tab w:val="right" w:pos="8306"/>
      </w:tabs>
      <w:snapToGrid w:val="0"/>
      <w:jc w:val="left"/>
    </w:pPr>
    <w:rPr>
      <w:rFonts w:ascii="Calibri" w:hAnsi="Calibri" w:eastAsia="宋体" w:cs="Arial"/>
      <w:kern w:val="2"/>
      <w:sz w:val="18"/>
      <w:szCs w:val="24"/>
      <w:lang w:val="en-US" w:eastAsia="zh-CN" w:bidi="ar-SA"/>
    </w:rPr>
  </w:style>
  <w:style w:type="paragraph" w:styleId="7">
    <w:name w:val="header"/>
    <w:basedOn w:val="1"/>
    <w:pPr>
      <w:pBdr>
        <w:bottom w:val="single" w:color="auto" w:sz="6" w:space="1"/>
      </w:pBdr>
      <w:tabs>
        <w:tab w:val="center" w:pos="4153"/>
        <w:tab w:val="right" w:pos="8307"/>
      </w:tabs>
      <w:snapToGrid w:val="0"/>
      <w:jc w:val="center"/>
    </w:pPr>
    <w:rPr>
      <w:sz w:val="18"/>
      <w:szCs w:val="18"/>
    </w:rPr>
  </w:style>
  <w:style w:type="paragraph" w:customStyle="1" w:styleId="9">
    <w:name w:val="Body Text First Indent"/>
    <w:basedOn w:val="5"/>
    <w:next w:val="1"/>
    <w:pPr>
      <w:ind w:firstLine="420" w:firstLineChars="1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2021-12-22T15:55:00Z</dcterms:created>
  <dc:creator>zxb</dc:creator>
  <cp:lastPrinted>2022-01-28T08:52:00Z</cp:lastPrinted>
  <dcterms:modified xsi:type="dcterms:W3CDTF">2023-11-30T14:10:31Z</dcterms:modified>
  <dc:title>greatwall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D1DB944D35AD42DAA661471683E1BC4B</vt:lpwstr>
  </property>
</Properties>
</file>