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jc w:val="left"/>
        <w:textAlignment w:val="center"/>
        <w:rPr>
          <w:rFonts w:hint="eastAsia" w:ascii="宋体" w:hAnsi="宋体" w:eastAsia="黑体"/>
          <w:color w:val="000000"/>
          <w:szCs w:val="32"/>
        </w:rPr>
      </w:pPr>
      <w:r>
        <w:rPr>
          <w:rFonts w:hint="eastAsia" w:ascii="宋体" w:hAnsi="宋体" w:eastAsia="黑体"/>
          <w:color w:val="000000"/>
          <w:szCs w:val="32"/>
        </w:rPr>
        <w:t>附件</w:t>
      </w:r>
    </w:p>
    <w:p>
      <w:pPr>
        <w:spacing w:line="590" w:lineRule="exact"/>
        <w:jc w:val="center"/>
        <w:rPr>
          <w:rFonts w:hint="eastAsia" w:ascii="宋体" w:hAnsi="宋体" w:eastAsia="方正大标宋简体" w:cs="仿宋_GB2312"/>
          <w:sz w:val="44"/>
          <w:szCs w:val="44"/>
        </w:rPr>
      </w:pPr>
      <w:bookmarkStart w:id="0" w:name="_GoBack"/>
      <w:r>
        <w:rPr>
          <w:rFonts w:hint="eastAsia" w:ascii="宋体" w:hAnsi="宋体" w:eastAsia="方正大标宋简体"/>
          <w:color w:val="000000"/>
          <w:sz w:val="44"/>
          <w:szCs w:val="44"/>
        </w:rPr>
        <w:t>重点任务分工及进度安排表</w:t>
      </w:r>
    </w:p>
    <w:bookmarkEnd w:id="0"/>
    <w:tbl>
      <w:tblPr>
        <w:tblStyle w:val="3"/>
        <w:tblW w:w="9055" w:type="dxa"/>
        <w:jc w:val="center"/>
        <w:tblInd w:w="0" w:type="dxa"/>
        <w:tblLayout w:type="fixed"/>
        <w:tblCellMar>
          <w:top w:w="0" w:type="dxa"/>
          <w:left w:w="15" w:type="dxa"/>
          <w:bottom w:w="0" w:type="dxa"/>
          <w:right w:w="15" w:type="dxa"/>
        </w:tblCellMar>
      </w:tblPr>
      <w:tblGrid>
        <w:gridCol w:w="534"/>
        <w:gridCol w:w="4529"/>
        <w:gridCol w:w="2340"/>
        <w:gridCol w:w="1652"/>
      </w:tblGrid>
      <w:tr>
        <w:tblPrEx>
          <w:tblLayout w:type="fixed"/>
          <w:tblCellMar>
            <w:top w:w="0" w:type="dxa"/>
            <w:left w:w="15" w:type="dxa"/>
            <w:bottom w:w="0" w:type="dxa"/>
            <w:right w:w="15" w:type="dxa"/>
          </w:tblCellMar>
        </w:tblPrEx>
        <w:trPr>
          <w:trHeight w:val="570" w:hRule="atLeast"/>
          <w:tblHeader/>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黑体"/>
                <w:color w:val="000000"/>
                <w:sz w:val="24"/>
                <w:szCs w:val="24"/>
              </w:rPr>
            </w:pPr>
            <w:r>
              <w:rPr>
                <w:rFonts w:ascii="宋体" w:hAnsi="宋体" w:eastAsia="黑体"/>
                <w:color w:val="000000"/>
                <w:sz w:val="24"/>
                <w:szCs w:val="24"/>
              </w:rPr>
              <w:t>序号</w:t>
            </w:r>
          </w:p>
        </w:tc>
        <w:tc>
          <w:tcPr>
            <w:tcW w:w="452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黑体"/>
                <w:color w:val="000000"/>
                <w:sz w:val="24"/>
                <w:szCs w:val="24"/>
              </w:rPr>
            </w:pPr>
            <w:r>
              <w:rPr>
                <w:rFonts w:ascii="宋体" w:hAnsi="宋体" w:eastAsia="黑体"/>
                <w:color w:val="000000"/>
                <w:sz w:val="24"/>
                <w:szCs w:val="24"/>
              </w:rPr>
              <w:t>工作任务</w:t>
            </w:r>
          </w:p>
        </w:tc>
        <w:tc>
          <w:tcPr>
            <w:tcW w:w="23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黑体"/>
                <w:color w:val="000000"/>
                <w:sz w:val="24"/>
                <w:szCs w:val="24"/>
              </w:rPr>
            </w:pPr>
            <w:r>
              <w:rPr>
                <w:rFonts w:ascii="宋体" w:hAnsi="宋体" w:eastAsia="黑体"/>
                <w:color w:val="000000"/>
                <w:sz w:val="24"/>
                <w:szCs w:val="24"/>
              </w:rPr>
              <w:t>责任单位</w:t>
            </w:r>
          </w:p>
        </w:tc>
        <w:tc>
          <w:tcPr>
            <w:tcW w:w="16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黑体"/>
                <w:color w:val="000000"/>
                <w:sz w:val="24"/>
                <w:szCs w:val="24"/>
              </w:rPr>
            </w:pPr>
            <w:r>
              <w:rPr>
                <w:rFonts w:ascii="宋体" w:hAnsi="宋体" w:eastAsia="黑体"/>
                <w:color w:val="000000"/>
                <w:sz w:val="24"/>
                <w:szCs w:val="24"/>
              </w:rPr>
              <w:t>时间进度</w:t>
            </w:r>
          </w:p>
        </w:tc>
      </w:tr>
      <w:tr>
        <w:tblPrEx>
          <w:tblLayout w:type="fixed"/>
          <w:tblCellMar>
            <w:top w:w="0" w:type="dxa"/>
            <w:left w:w="15" w:type="dxa"/>
            <w:bottom w:w="0" w:type="dxa"/>
            <w:right w:w="15" w:type="dxa"/>
          </w:tblCellMar>
        </w:tblPrEx>
        <w:trPr>
          <w:trHeight w:val="819"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szCs w:val="24"/>
              </w:rPr>
            </w:pPr>
            <w:r>
              <w:rPr>
                <w:rFonts w:ascii="宋体" w:hAnsi="宋体"/>
                <w:color w:val="000000"/>
                <w:sz w:val="24"/>
                <w:szCs w:val="24"/>
              </w:rPr>
              <w:t>1</w:t>
            </w:r>
          </w:p>
        </w:tc>
        <w:tc>
          <w:tcPr>
            <w:tcW w:w="452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szCs w:val="24"/>
              </w:rPr>
            </w:pPr>
            <w:r>
              <w:rPr>
                <w:rFonts w:ascii="宋体" w:hAnsi="宋体"/>
                <w:color w:val="000000"/>
                <w:sz w:val="24"/>
                <w:szCs w:val="24"/>
              </w:rPr>
              <w:t>建立困难残疾人生活补贴制度和重度残疾人护理补贴制度。</w:t>
            </w:r>
          </w:p>
        </w:tc>
        <w:tc>
          <w:tcPr>
            <w:tcW w:w="23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color w:val="000000"/>
                <w:sz w:val="24"/>
                <w:szCs w:val="24"/>
              </w:rPr>
            </w:pPr>
            <w:r>
              <w:rPr>
                <w:rFonts w:ascii="宋体" w:hAnsi="宋体"/>
                <w:color w:val="000000"/>
                <w:sz w:val="24"/>
                <w:szCs w:val="24"/>
              </w:rPr>
              <w:t>市民政局</w:t>
            </w:r>
            <w:r>
              <w:rPr>
                <w:rFonts w:hint="eastAsia" w:ascii="宋体" w:hAnsi="宋体"/>
                <w:color w:val="000000"/>
                <w:sz w:val="24"/>
                <w:szCs w:val="24"/>
              </w:rPr>
              <w:t>、</w:t>
            </w:r>
            <w:r>
              <w:rPr>
                <w:rFonts w:ascii="宋体" w:hAnsi="宋体"/>
                <w:color w:val="000000"/>
                <w:sz w:val="24"/>
                <w:szCs w:val="24"/>
              </w:rPr>
              <w:t>财政局、</w:t>
            </w:r>
          </w:p>
          <w:p>
            <w:pPr>
              <w:autoSpaceDN w:val="0"/>
              <w:jc w:val="left"/>
              <w:textAlignment w:val="center"/>
              <w:rPr>
                <w:rFonts w:ascii="宋体" w:hAnsi="宋体"/>
                <w:color w:val="000000"/>
                <w:sz w:val="24"/>
                <w:szCs w:val="24"/>
              </w:rPr>
            </w:pPr>
            <w:r>
              <w:rPr>
                <w:rFonts w:ascii="宋体" w:hAnsi="宋体"/>
                <w:color w:val="000000"/>
                <w:sz w:val="24"/>
                <w:szCs w:val="24"/>
              </w:rPr>
              <w:t>残联</w:t>
            </w:r>
          </w:p>
        </w:tc>
        <w:tc>
          <w:tcPr>
            <w:tcW w:w="165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color w:val="000000"/>
                <w:sz w:val="24"/>
                <w:szCs w:val="24"/>
              </w:rPr>
            </w:pPr>
            <w:r>
              <w:rPr>
                <w:rFonts w:ascii="宋体" w:hAnsi="宋体"/>
                <w:color w:val="000000"/>
                <w:sz w:val="24"/>
                <w:szCs w:val="24"/>
              </w:rPr>
              <w:t>201</w:t>
            </w:r>
            <w:r>
              <w:rPr>
                <w:rFonts w:hint="eastAsia" w:ascii="宋体" w:hAnsi="宋体"/>
                <w:color w:val="000000"/>
                <w:sz w:val="24"/>
                <w:szCs w:val="24"/>
              </w:rPr>
              <w:t>6</w:t>
            </w:r>
            <w:r>
              <w:rPr>
                <w:rFonts w:ascii="宋体" w:hAnsi="宋体"/>
                <w:color w:val="000000"/>
                <w:sz w:val="24"/>
                <w:szCs w:val="24"/>
              </w:rPr>
              <w:t>年</w:t>
            </w:r>
            <w:r>
              <w:rPr>
                <w:rFonts w:hint="eastAsia" w:ascii="宋体" w:hAnsi="宋体"/>
                <w:color w:val="000000"/>
                <w:sz w:val="24"/>
                <w:szCs w:val="24"/>
              </w:rPr>
              <w:t>年</w:t>
            </w:r>
            <w:r>
              <w:rPr>
                <w:rFonts w:ascii="宋体" w:hAnsi="宋体"/>
                <w:color w:val="000000"/>
                <w:sz w:val="24"/>
                <w:szCs w:val="24"/>
              </w:rPr>
              <w:t>底前出台具体政策措施</w:t>
            </w:r>
          </w:p>
        </w:tc>
      </w:tr>
      <w:tr>
        <w:tblPrEx>
          <w:tblLayout w:type="fixed"/>
          <w:tblCellMar>
            <w:top w:w="0" w:type="dxa"/>
            <w:left w:w="15" w:type="dxa"/>
            <w:bottom w:w="0" w:type="dxa"/>
            <w:right w:w="15" w:type="dxa"/>
          </w:tblCellMar>
        </w:tblPrEx>
        <w:trPr>
          <w:trHeight w:val="981"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szCs w:val="24"/>
              </w:rPr>
            </w:pPr>
            <w:r>
              <w:rPr>
                <w:rFonts w:ascii="宋体" w:hAnsi="宋体"/>
                <w:color w:val="000000"/>
                <w:sz w:val="24"/>
                <w:szCs w:val="24"/>
              </w:rPr>
              <w:t>2</w:t>
            </w:r>
          </w:p>
        </w:tc>
        <w:tc>
          <w:tcPr>
            <w:tcW w:w="452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szCs w:val="24"/>
              </w:rPr>
            </w:pPr>
            <w:r>
              <w:rPr>
                <w:rFonts w:ascii="宋体" w:hAnsi="宋体"/>
                <w:color w:val="000000"/>
                <w:sz w:val="24"/>
                <w:szCs w:val="24"/>
              </w:rPr>
              <w:t>落实低</w:t>
            </w:r>
            <w:r>
              <w:rPr>
                <w:rFonts w:hint="eastAsia" w:ascii="宋体" w:hAnsi="宋体"/>
                <w:color w:val="000000"/>
                <w:sz w:val="24"/>
                <w:szCs w:val="24"/>
              </w:rPr>
              <w:t>保</w:t>
            </w:r>
            <w:r>
              <w:rPr>
                <w:rFonts w:ascii="宋体" w:hAnsi="宋体"/>
                <w:color w:val="000000"/>
                <w:sz w:val="24"/>
                <w:szCs w:val="24"/>
              </w:rPr>
              <w:t>残疾人家庭生活用电、水、气、暖等费用优惠和补贴政策。</w:t>
            </w:r>
          </w:p>
        </w:tc>
        <w:tc>
          <w:tcPr>
            <w:tcW w:w="23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szCs w:val="24"/>
              </w:rPr>
            </w:pPr>
            <w:r>
              <w:rPr>
                <w:rFonts w:ascii="宋体" w:hAnsi="宋体"/>
                <w:color w:val="000000"/>
                <w:sz w:val="24"/>
                <w:szCs w:val="24"/>
              </w:rPr>
              <w:t>市残联</w:t>
            </w:r>
            <w:r>
              <w:rPr>
                <w:rFonts w:hint="eastAsia" w:ascii="宋体" w:hAnsi="宋体"/>
                <w:color w:val="000000"/>
                <w:sz w:val="24"/>
                <w:szCs w:val="24"/>
              </w:rPr>
              <w:t>、</w:t>
            </w:r>
            <w:r>
              <w:rPr>
                <w:rFonts w:ascii="宋体" w:hAnsi="宋体"/>
                <w:color w:val="000000"/>
                <w:sz w:val="24"/>
                <w:szCs w:val="24"/>
              </w:rPr>
              <w:t>民政局、财政局、发展和改革委员会</w:t>
            </w:r>
          </w:p>
        </w:tc>
        <w:tc>
          <w:tcPr>
            <w:tcW w:w="16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szCs w:val="24"/>
              </w:rPr>
            </w:pPr>
            <w:r>
              <w:rPr>
                <w:rFonts w:ascii="宋体" w:hAnsi="宋体"/>
                <w:color w:val="000000"/>
                <w:sz w:val="24"/>
                <w:szCs w:val="24"/>
              </w:rPr>
              <w:t>持续实施</w:t>
            </w:r>
          </w:p>
        </w:tc>
      </w:tr>
      <w:tr>
        <w:tblPrEx>
          <w:tblLayout w:type="fixed"/>
          <w:tblCellMar>
            <w:top w:w="0" w:type="dxa"/>
            <w:left w:w="15" w:type="dxa"/>
            <w:bottom w:w="0" w:type="dxa"/>
            <w:right w:w="15" w:type="dxa"/>
          </w:tblCellMar>
        </w:tblPrEx>
        <w:trPr>
          <w:trHeight w:val="1582"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szCs w:val="24"/>
              </w:rPr>
            </w:pPr>
            <w:r>
              <w:rPr>
                <w:rFonts w:ascii="宋体" w:hAnsi="宋体"/>
                <w:color w:val="000000"/>
                <w:sz w:val="24"/>
                <w:szCs w:val="24"/>
              </w:rPr>
              <w:t>3</w:t>
            </w:r>
          </w:p>
        </w:tc>
        <w:tc>
          <w:tcPr>
            <w:tcW w:w="452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szCs w:val="24"/>
              </w:rPr>
            </w:pPr>
            <w:r>
              <w:rPr>
                <w:rFonts w:ascii="宋体" w:hAnsi="宋体"/>
                <w:color w:val="000000"/>
                <w:sz w:val="24"/>
                <w:szCs w:val="24"/>
              </w:rPr>
              <w:t>逐步扩大基本医疗保险支持的医疗康复项目，完善重度残疾人医疗报销制度，做好重度残疾人就医费用结算业务。</w:t>
            </w:r>
          </w:p>
        </w:tc>
        <w:tc>
          <w:tcPr>
            <w:tcW w:w="23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szCs w:val="24"/>
              </w:rPr>
            </w:pPr>
            <w:r>
              <w:rPr>
                <w:rFonts w:ascii="宋体" w:hAnsi="宋体"/>
                <w:color w:val="000000"/>
                <w:sz w:val="24"/>
                <w:szCs w:val="24"/>
              </w:rPr>
              <w:t>市人力资源和社会保障局</w:t>
            </w:r>
            <w:r>
              <w:rPr>
                <w:rFonts w:hint="eastAsia" w:ascii="宋体" w:hAnsi="宋体"/>
                <w:color w:val="000000"/>
                <w:sz w:val="24"/>
                <w:szCs w:val="24"/>
              </w:rPr>
              <w:t>、</w:t>
            </w:r>
            <w:r>
              <w:rPr>
                <w:rFonts w:ascii="宋体" w:hAnsi="宋体"/>
                <w:color w:val="000000"/>
                <w:sz w:val="24"/>
                <w:szCs w:val="24"/>
              </w:rPr>
              <w:t>卫生和计划生育委员会、民政局、财政局、残联</w:t>
            </w:r>
          </w:p>
        </w:tc>
        <w:tc>
          <w:tcPr>
            <w:tcW w:w="16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szCs w:val="24"/>
              </w:rPr>
            </w:pPr>
            <w:r>
              <w:rPr>
                <w:rFonts w:ascii="宋体" w:hAnsi="宋体"/>
                <w:color w:val="000000"/>
                <w:sz w:val="24"/>
                <w:szCs w:val="24"/>
              </w:rPr>
              <w:t>持续实施</w:t>
            </w:r>
          </w:p>
        </w:tc>
      </w:tr>
      <w:tr>
        <w:tblPrEx>
          <w:tblLayout w:type="fixed"/>
          <w:tblCellMar>
            <w:top w:w="0" w:type="dxa"/>
            <w:left w:w="15" w:type="dxa"/>
            <w:bottom w:w="0" w:type="dxa"/>
            <w:right w:w="15" w:type="dxa"/>
          </w:tblCellMar>
        </w:tblPrEx>
        <w:trPr>
          <w:trHeight w:val="844"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szCs w:val="24"/>
              </w:rPr>
            </w:pPr>
            <w:r>
              <w:rPr>
                <w:rFonts w:ascii="宋体" w:hAnsi="宋体"/>
                <w:color w:val="000000"/>
                <w:sz w:val="24"/>
                <w:szCs w:val="24"/>
              </w:rPr>
              <w:t>4</w:t>
            </w:r>
          </w:p>
        </w:tc>
        <w:tc>
          <w:tcPr>
            <w:tcW w:w="452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szCs w:val="24"/>
              </w:rPr>
            </w:pPr>
            <w:r>
              <w:rPr>
                <w:rFonts w:ascii="宋体" w:hAnsi="宋体"/>
                <w:color w:val="000000"/>
                <w:sz w:val="24"/>
                <w:szCs w:val="24"/>
              </w:rPr>
              <w:t>全面完成农村残疾人家庭存量危房改造。</w:t>
            </w:r>
          </w:p>
        </w:tc>
        <w:tc>
          <w:tcPr>
            <w:tcW w:w="23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szCs w:val="24"/>
              </w:rPr>
            </w:pPr>
            <w:r>
              <w:rPr>
                <w:rFonts w:ascii="宋体" w:hAnsi="宋体"/>
                <w:color w:val="000000"/>
                <w:sz w:val="24"/>
                <w:szCs w:val="24"/>
              </w:rPr>
              <w:t>市住房和城乡建设局</w:t>
            </w:r>
            <w:r>
              <w:rPr>
                <w:rFonts w:hint="eastAsia" w:ascii="宋体" w:hAnsi="宋体"/>
                <w:color w:val="000000"/>
                <w:sz w:val="24"/>
                <w:szCs w:val="24"/>
              </w:rPr>
              <w:t>、</w:t>
            </w:r>
            <w:r>
              <w:rPr>
                <w:rFonts w:ascii="宋体" w:hAnsi="宋体"/>
                <w:color w:val="000000"/>
                <w:sz w:val="24"/>
                <w:szCs w:val="24"/>
              </w:rPr>
              <w:t>财政局、残联</w:t>
            </w:r>
          </w:p>
        </w:tc>
        <w:tc>
          <w:tcPr>
            <w:tcW w:w="16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szCs w:val="24"/>
              </w:rPr>
            </w:pPr>
            <w:r>
              <w:rPr>
                <w:rFonts w:ascii="宋体" w:hAnsi="宋体"/>
                <w:color w:val="000000"/>
                <w:sz w:val="24"/>
                <w:szCs w:val="24"/>
              </w:rPr>
              <w:t>持续实施</w:t>
            </w:r>
          </w:p>
        </w:tc>
      </w:tr>
      <w:tr>
        <w:tblPrEx>
          <w:tblLayout w:type="fixed"/>
          <w:tblCellMar>
            <w:top w:w="0" w:type="dxa"/>
            <w:left w:w="15" w:type="dxa"/>
            <w:bottom w:w="0" w:type="dxa"/>
            <w:right w:w="15" w:type="dxa"/>
          </w:tblCellMar>
        </w:tblPrEx>
        <w:trPr>
          <w:trHeight w:val="2898"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szCs w:val="24"/>
              </w:rPr>
            </w:pPr>
            <w:r>
              <w:rPr>
                <w:rFonts w:ascii="宋体" w:hAnsi="宋体"/>
                <w:color w:val="000000"/>
                <w:sz w:val="24"/>
                <w:szCs w:val="24"/>
              </w:rPr>
              <w:t>5</w:t>
            </w:r>
          </w:p>
        </w:tc>
        <w:tc>
          <w:tcPr>
            <w:tcW w:w="452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szCs w:val="24"/>
              </w:rPr>
            </w:pPr>
            <w:r>
              <w:rPr>
                <w:rFonts w:ascii="宋体" w:hAnsi="宋体"/>
                <w:color w:val="000000"/>
                <w:sz w:val="24"/>
                <w:szCs w:val="24"/>
              </w:rPr>
              <w:t>党政机关、事业单位、国有企业应当带头招录和安置残疾人就业，公务员招录和事业单位公开招聘工作人员，不得拒绝符合条件的残疾人报考，也不得拒绝录用符合条件的残疾人。到2020年，所有党政机关、残工委主要成员单位至少安排有1名残疾人。</w:t>
            </w:r>
          </w:p>
        </w:tc>
        <w:tc>
          <w:tcPr>
            <w:tcW w:w="23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szCs w:val="24"/>
              </w:rPr>
            </w:pPr>
            <w:r>
              <w:rPr>
                <w:rFonts w:ascii="宋体" w:hAnsi="宋体"/>
                <w:color w:val="000000"/>
                <w:sz w:val="24"/>
                <w:szCs w:val="24"/>
              </w:rPr>
              <w:t>市残联</w:t>
            </w:r>
            <w:r>
              <w:rPr>
                <w:rFonts w:hint="eastAsia" w:ascii="宋体" w:hAnsi="宋体"/>
                <w:color w:val="000000"/>
                <w:sz w:val="24"/>
                <w:szCs w:val="24"/>
              </w:rPr>
              <w:t>、</w:t>
            </w:r>
            <w:r>
              <w:rPr>
                <w:rFonts w:ascii="宋体" w:hAnsi="宋体"/>
                <w:color w:val="000000"/>
                <w:sz w:val="24"/>
                <w:szCs w:val="24"/>
              </w:rPr>
              <w:t>人力资源和社会保障局</w:t>
            </w:r>
          </w:p>
        </w:tc>
        <w:tc>
          <w:tcPr>
            <w:tcW w:w="16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szCs w:val="24"/>
              </w:rPr>
            </w:pPr>
            <w:r>
              <w:rPr>
                <w:rFonts w:ascii="宋体" w:hAnsi="宋体"/>
                <w:color w:val="000000"/>
                <w:sz w:val="24"/>
                <w:szCs w:val="24"/>
              </w:rPr>
              <w:t>持续实施</w:t>
            </w:r>
          </w:p>
        </w:tc>
      </w:tr>
      <w:tr>
        <w:tblPrEx>
          <w:tblLayout w:type="fixed"/>
          <w:tblCellMar>
            <w:top w:w="0" w:type="dxa"/>
            <w:left w:w="15" w:type="dxa"/>
            <w:bottom w:w="0" w:type="dxa"/>
            <w:right w:w="15" w:type="dxa"/>
          </w:tblCellMar>
        </w:tblPrEx>
        <w:trPr>
          <w:trHeight w:val="3667"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szCs w:val="24"/>
              </w:rPr>
            </w:pPr>
            <w:r>
              <w:rPr>
                <w:rFonts w:ascii="宋体" w:hAnsi="宋体"/>
                <w:color w:val="000000"/>
                <w:sz w:val="24"/>
                <w:szCs w:val="24"/>
              </w:rPr>
              <w:t>6</w:t>
            </w:r>
          </w:p>
        </w:tc>
        <w:tc>
          <w:tcPr>
            <w:tcW w:w="452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szCs w:val="24"/>
              </w:rPr>
            </w:pPr>
            <w:r>
              <w:rPr>
                <w:rFonts w:ascii="宋体" w:hAnsi="宋体"/>
                <w:color w:val="000000"/>
                <w:sz w:val="24"/>
                <w:szCs w:val="24"/>
              </w:rPr>
              <w:t>推进市残疾人创业就业孵化基地建设，出台市残疾人创业就业孵化基地建设扶持政策，引进适合残疾人的创业项目，以政府购买服务的方式提供创业培训、创业见习与指导、融资服务、法律援助等孵化服务，残疾人创办的小微企业和社会组织在孵化基地内优先享受各项扶持政策。扶持盲人开展医疗和保健按摩，加大对辅助性就业支持力度。</w:t>
            </w:r>
          </w:p>
        </w:tc>
        <w:tc>
          <w:tcPr>
            <w:tcW w:w="23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szCs w:val="24"/>
              </w:rPr>
            </w:pPr>
            <w:r>
              <w:rPr>
                <w:rFonts w:ascii="宋体" w:hAnsi="宋体"/>
                <w:color w:val="000000"/>
                <w:sz w:val="24"/>
                <w:szCs w:val="24"/>
              </w:rPr>
              <w:t>市残联</w:t>
            </w:r>
            <w:r>
              <w:rPr>
                <w:rFonts w:hint="eastAsia" w:ascii="宋体" w:hAnsi="宋体"/>
                <w:color w:val="000000"/>
                <w:sz w:val="24"/>
                <w:szCs w:val="24"/>
              </w:rPr>
              <w:t>、</w:t>
            </w:r>
            <w:r>
              <w:rPr>
                <w:rFonts w:ascii="宋体" w:hAnsi="宋体"/>
                <w:color w:val="000000"/>
                <w:sz w:val="24"/>
                <w:szCs w:val="24"/>
              </w:rPr>
              <w:t>民政局、财政局、人力资源和社会保障局、卫生和计划生育委员会</w:t>
            </w:r>
          </w:p>
        </w:tc>
        <w:tc>
          <w:tcPr>
            <w:tcW w:w="165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szCs w:val="24"/>
              </w:rPr>
            </w:pPr>
            <w:r>
              <w:rPr>
                <w:rFonts w:ascii="宋体" w:hAnsi="宋体"/>
                <w:color w:val="000000"/>
                <w:sz w:val="24"/>
                <w:szCs w:val="24"/>
              </w:rPr>
              <w:t>201</w:t>
            </w:r>
            <w:r>
              <w:rPr>
                <w:rFonts w:hint="eastAsia" w:ascii="宋体" w:hAnsi="宋体"/>
                <w:color w:val="000000"/>
                <w:sz w:val="24"/>
                <w:szCs w:val="24"/>
              </w:rPr>
              <w:t>6</w:t>
            </w:r>
            <w:r>
              <w:rPr>
                <w:rFonts w:ascii="宋体" w:hAnsi="宋体"/>
                <w:color w:val="000000"/>
                <w:sz w:val="24"/>
                <w:szCs w:val="24"/>
              </w:rPr>
              <w:t>年</w:t>
            </w:r>
            <w:r>
              <w:rPr>
                <w:rFonts w:hint="eastAsia" w:ascii="宋体" w:hAnsi="宋体"/>
                <w:color w:val="000000"/>
                <w:sz w:val="24"/>
                <w:szCs w:val="24"/>
              </w:rPr>
              <w:t>年</w:t>
            </w:r>
            <w:r>
              <w:rPr>
                <w:rFonts w:ascii="宋体" w:hAnsi="宋体"/>
                <w:color w:val="000000"/>
                <w:sz w:val="24"/>
                <w:szCs w:val="24"/>
              </w:rPr>
              <w:t>底前出台具体政策措施</w:t>
            </w:r>
          </w:p>
        </w:tc>
      </w:tr>
      <w:tr>
        <w:tblPrEx>
          <w:tblLayout w:type="fixed"/>
          <w:tblCellMar>
            <w:top w:w="0" w:type="dxa"/>
            <w:left w:w="15" w:type="dxa"/>
            <w:bottom w:w="0" w:type="dxa"/>
            <w:right w:w="15" w:type="dxa"/>
          </w:tblCellMar>
        </w:tblPrEx>
        <w:trPr>
          <w:trHeight w:val="1488"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szCs w:val="24"/>
              </w:rPr>
            </w:pPr>
            <w:r>
              <w:rPr>
                <w:rFonts w:ascii="宋体" w:hAnsi="宋体"/>
                <w:color w:val="000000"/>
                <w:sz w:val="24"/>
                <w:szCs w:val="24"/>
              </w:rPr>
              <w:t>7</w:t>
            </w:r>
          </w:p>
        </w:tc>
        <w:tc>
          <w:tcPr>
            <w:tcW w:w="452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szCs w:val="24"/>
              </w:rPr>
            </w:pPr>
            <w:r>
              <w:rPr>
                <w:rFonts w:ascii="宋体" w:hAnsi="宋体"/>
                <w:color w:val="000000"/>
                <w:sz w:val="24"/>
                <w:szCs w:val="24"/>
              </w:rPr>
              <w:t>开发适合残疾人就业的公益性岗位，将难以实现就业的残疾人列入就业困难人员范围，给予重点就业服务和援助。</w:t>
            </w:r>
          </w:p>
        </w:tc>
        <w:tc>
          <w:tcPr>
            <w:tcW w:w="23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szCs w:val="24"/>
              </w:rPr>
            </w:pPr>
            <w:r>
              <w:rPr>
                <w:rFonts w:ascii="宋体" w:hAnsi="宋体"/>
                <w:color w:val="000000"/>
                <w:sz w:val="24"/>
                <w:szCs w:val="24"/>
              </w:rPr>
              <w:t>市人力资源和社会保障局</w:t>
            </w:r>
            <w:r>
              <w:rPr>
                <w:rFonts w:hint="eastAsia" w:ascii="宋体" w:hAnsi="宋体"/>
                <w:color w:val="000000"/>
                <w:sz w:val="24"/>
                <w:szCs w:val="24"/>
              </w:rPr>
              <w:t>、</w:t>
            </w:r>
            <w:r>
              <w:rPr>
                <w:rFonts w:ascii="宋体" w:hAnsi="宋体"/>
                <w:color w:val="000000"/>
                <w:sz w:val="24"/>
                <w:szCs w:val="24"/>
              </w:rPr>
              <w:t>财政局、残联</w:t>
            </w:r>
          </w:p>
        </w:tc>
        <w:tc>
          <w:tcPr>
            <w:tcW w:w="16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szCs w:val="24"/>
              </w:rPr>
            </w:pPr>
            <w:r>
              <w:rPr>
                <w:rFonts w:ascii="宋体" w:hAnsi="宋体"/>
                <w:color w:val="000000"/>
                <w:sz w:val="24"/>
                <w:szCs w:val="24"/>
              </w:rPr>
              <w:t>持续实施</w:t>
            </w:r>
          </w:p>
        </w:tc>
      </w:tr>
      <w:tr>
        <w:tblPrEx>
          <w:tblLayout w:type="fixed"/>
          <w:tblCellMar>
            <w:top w:w="0" w:type="dxa"/>
            <w:left w:w="15" w:type="dxa"/>
            <w:bottom w:w="0" w:type="dxa"/>
            <w:right w:w="15" w:type="dxa"/>
          </w:tblCellMar>
        </w:tblPrEx>
        <w:trPr>
          <w:trHeight w:val="1459"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szCs w:val="24"/>
              </w:rPr>
            </w:pPr>
            <w:r>
              <w:rPr>
                <w:rFonts w:ascii="宋体" w:hAnsi="宋体"/>
                <w:color w:val="000000"/>
                <w:sz w:val="24"/>
                <w:szCs w:val="24"/>
              </w:rPr>
              <w:t>8</w:t>
            </w:r>
          </w:p>
        </w:tc>
        <w:tc>
          <w:tcPr>
            <w:tcW w:w="452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pacing w:val="-4"/>
                <w:sz w:val="24"/>
                <w:szCs w:val="24"/>
              </w:rPr>
            </w:pPr>
            <w:r>
              <w:rPr>
                <w:rFonts w:ascii="宋体" w:hAnsi="宋体"/>
                <w:color w:val="000000"/>
                <w:spacing w:val="-4"/>
                <w:sz w:val="24"/>
                <w:szCs w:val="24"/>
              </w:rPr>
              <w:t>把农村贫困残疾人作为重点扶持对象纳入精准扶贫工作机制和贫困监测体系；对纳入建档立卡的残疾人扶贫对象，实施逐一帮扶。</w:t>
            </w:r>
          </w:p>
        </w:tc>
        <w:tc>
          <w:tcPr>
            <w:tcW w:w="23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color w:val="000000"/>
                <w:sz w:val="24"/>
                <w:szCs w:val="24"/>
              </w:rPr>
            </w:pPr>
            <w:r>
              <w:rPr>
                <w:rFonts w:ascii="宋体" w:hAnsi="宋体"/>
                <w:color w:val="000000"/>
                <w:sz w:val="24"/>
                <w:szCs w:val="24"/>
              </w:rPr>
              <w:t>市扶贫办</w:t>
            </w:r>
            <w:r>
              <w:rPr>
                <w:rFonts w:hint="eastAsia" w:ascii="宋体" w:hAnsi="宋体"/>
                <w:color w:val="000000"/>
                <w:sz w:val="24"/>
                <w:szCs w:val="24"/>
              </w:rPr>
              <w:t>、</w:t>
            </w:r>
            <w:r>
              <w:rPr>
                <w:rFonts w:ascii="宋体" w:hAnsi="宋体"/>
                <w:color w:val="000000"/>
                <w:sz w:val="24"/>
                <w:szCs w:val="24"/>
              </w:rPr>
              <w:t>农牧局、</w:t>
            </w:r>
          </w:p>
          <w:p>
            <w:pPr>
              <w:autoSpaceDN w:val="0"/>
              <w:jc w:val="left"/>
              <w:textAlignment w:val="center"/>
              <w:rPr>
                <w:rFonts w:ascii="宋体" w:hAnsi="宋体"/>
                <w:color w:val="000000"/>
                <w:sz w:val="24"/>
                <w:szCs w:val="24"/>
              </w:rPr>
            </w:pPr>
            <w:r>
              <w:rPr>
                <w:rFonts w:ascii="宋体" w:hAnsi="宋体"/>
                <w:color w:val="000000"/>
                <w:sz w:val="24"/>
                <w:szCs w:val="24"/>
              </w:rPr>
              <w:t>残联</w:t>
            </w:r>
          </w:p>
        </w:tc>
        <w:tc>
          <w:tcPr>
            <w:tcW w:w="16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szCs w:val="24"/>
              </w:rPr>
            </w:pPr>
            <w:r>
              <w:rPr>
                <w:rFonts w:ascii="宋体" w:hAnsi="宋体"/>
                <w:color w:val="000000"/>
                <w:sz w:val="24"/>
                <w:szCs w:val="24"/>
              </w:rPr>
              <w:t>持续实施</w:t>
            </w:r>
          </w:p>
        </w:tc>
      </w:tr>
      <w:tr>
        <w:tblPrEx>
          <w:tblLayout w:type="fixed"/>
          <w:tblCellMar>
            <w:top w:w="0" w:type="dxa"/>
            <w:left w:w="15" w:type="dxa"/>
            <w:bottom w:w="0" w:type="dxa"/>
            <w:right w:w="15" w:type="dxa"/>
          </w:tblCellMar>
        </w:tblPrEx>
        <w:trPr>
          <w:trHeight w:val="844"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szCs w:val="24"/>
              </w:rPr>
            </w:pPr>
            <w:r>
              <w:rPr>
                <w:rFonts w:ascii="宋体" w:hAnsi="宋体"/>
                <w:color w:val="000000"/>
                <w:sz w:val="24"/>
                <w:szCs w:val="24"/>
              </w:rPr>
              <w:t>9</w:t>
            </w:r>
          </w:p>
        </w:tc>
        <w:tc>
          <w:tcPr>
            <w:tcW w:w="452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szCs w:val="24"/>
              </w:rPr>
            </w:pPr>
            <w:r>
              <w:rPr>
                <w:rFonts w:ascii="宋体" w:hAnsi="宋体"/>
                <w:color w:val="000000"/>
                <w:sz w:val="24"/>
                <w:szCs w:val="24"/>
              </w:rPr>
              <w:t>建立残疾报告制度，</w:t>
            </w:r>
            <w:r>
              <w:rPr>
                <w:rFonts w:hint="eastAsia" w:ascii="宋体" w:hAnsi="宋体"/>
                <w:color w:val="000000"/>
                <w:sz w:val="24"/>
                <w:szCs w:val="24"/>
              </w:rPr>
              <w:t>推动</w:t>
            </w:r>
            <w:r>
              <w:rPr>
                <w:rFonts w:ascii="宋体" w:hAnsi="宋体"/>
                <w:color w:val="000000"/>
                <w:sz w:val="24"/>
                <w:szCs w:val="24"/>
              </w:rPr>
              <w:t>卫生计生部门与残联信息共享。</w:t>
            </w:r>
          </w:p>
        </w:tc>
        <w:tc>
          <w:tcPr>
            <w:tcW w:w="23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szCs w:val="24"/>
              </w:rPr>
            </w:pPr>
            <w:r>
              <w:rPr>
                <w:rFonts w:ascii="宋体" w:hAnsi="宋体"/>
                <w:color w:val="000000"/>
                <w:sz w:val="24"/>
                <w:szCs w:val="24"/>
              </w:rPr>
              <w:t>市卫生和计划生育委员会</w:t>
            </w:r>
            <w:r>
              <w:rPr>
                <w:rFonts w:hint="eastAsia" w:ascii="宋体" w:hAnsi="宋体"/>
                <w:color w:val="000000"/>
                <w:sz w:val="24"/>
                <w:szCs w:val="24"/>
              </w:rPr>
              <w:t>、</w:t>
            </w:r>
            <w:r>
              <w:rPr>
                <w:rFonts w:ascii="宋体" w:hAnsi="宋体"/>
                <w:color w:val="000000"/>
                <w:sz w:val="24"/>
                <w:szCs w:val="24"/>
              </w:rPr>
              <w:t>残联</w:t>
            </w:r>
          </w:p>
        </w:tc>
        <w:tc>
          <w:tcPr>
            <w:tcW w:w="16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szCs w:val="24"/>
              </w:rPr>
            </w:pPr>
            <w:r>
              <w:rPr>
                <w:rFonts w:ascii="宋体" w:hAnsi="宋体"/>
                <w:color w:val="000000"/>
                <w:sz w:val="24"/>
                <w:szCs w:val="24"/>
              </w:rPr>
              <w:t>持续实施</w:t>
            </w:r>
          </w:p>
        </w:tc>
      </w:tr>
      <w:tr>
        <w:tblPrEx>
          <w:tblLayout w:type="fixed"/>
          <w:tblCellMar>
            <w:top w:w="0" w:type="dxa"/>
            <w:left w:w="15" w:type="dxa"/>
            <w:bottom w:w="0" w:type="dxa"/>
            <w:right w:w="15" w:type="dxa"/>
          </w:tblCellMar>
        </w:tblPrEx>
        <w:trPr>
          <w:trHeight w:val="1850"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szCs w:val="24"/>
              </w:rPr>
            </w:pPr>
            <w:r>
              <w:rPr>
                <w:rFonts w:ascii="宋体" w:hAnsi="宋体"/>
                <w:color w:val="000000"/>
                <w:sz w:val="24"/>
                <w:szCs w:val="24"/>
              </w:rPr>
              <w:t>10</w:t>
            </w:r>
          </w:p>
        </w:tc>
        <w:tc>
          <w:tcPr>
            <w:tcW w:w="452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szCs w:val="24"/>
              </w:rPr>
            </w:pPr>
            <w:r>
              <w:rPr>
                <w:rFonts w:hint="eastAsia" w:ascii="宋体" w:hAnsi="宋体"/>
                <w:color w:val="000000"/>
                <w:sz w:val="24"/>
                <w:szCs w:val="24"/>
              </w:rPr>
              <w:t>实施好0—6岁残疾儿童抢救性康复救助全覆盖工程，将脑瘫儿童康复纳入门诊慢性病报销范围，实行灵活的救助政策，根据康复效果适当延长康复期限。</w:t>
            </w:r>
          </w:p>
        </w:tc>
        <w:tc>
          <w:tcPr>
            <w:tcW w:w="23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szCs w:val="24"/>
              </w:rPr>
            </w:pPr>
            <w:r>
              <w:rPr>
                <w:rFonts w:ascii="宋体" w:hAnsi="宋体"/>
                <w:color w:val="000000"/>
                <w:sz w:val="24"/>
                <w:szCs w:val="24"/>
              </w:rPr>
              <w:t>市残联</w:t>
            </w:r>
            <w:r>
              <w:rPr>
                <w:rFonts w:hint="eastAsia" w:ascii="宋体" w:hAnsi="宋体"/>
                <w:color w:val="000000"/>
                <w:sz w:val="24"/>
                <w:szCs w:val="24"/>
              </w:rPr>
              <w:t>、</w:t>
            </w:r>
            <w:r>
              <w:rPr>
                <w:rFonts w:ascii="宋体" w:hAnsi="宋体"/>
                <w:color w:val="000000"/>
                <w:sz w:val="24"/>
                <w:szCs w:val="24"/>
              </w:rPr>
              <w:t>财政局、卫生和计划生育委员会、教育局</w:t>
            </w:r>
            <w:r>
              <w:rPr>
                <w:rFonts w:hint="eastAsia" w:ascii="宋体" w:hAnsi="宋体"/>
                <w:color w:val="000000"/>
                <w:sz w:val="24"/>
                <w:szCs w:val="24"/>
              </w:rPr>
              <w:t>、</w:t>
            </w:r>
            <w:r>
              <w:rPr>
                <w:rFonts w:ascii="宋体" w:hAnsi="宋体"/>
                <w:color w:val="000000"/>
                <w:sz w:val="24"/>
                <w:szCs w:val="24"/>
              </w:rPr>
              <w:t>人力资源和社会保障局</w:t>
            </w:r>
          </w:p>
        </w:tc>
        <w:tc>
          <w:tcPr>
            <w:tcW w:w="16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szCs w:val="24"/>
              </w:rPr>
            </w:pPr>
            <w:r>
              <w:rPr>
                <w:rFonts w:ascii="宋体" w:hAnsi="宋体"/>
                <w:color w:val="000000"/>
                <w:sz w:val="24"/>
                <w:szCs w:val="24"/>
              </w:rPr>
              <w:t>持续实施</w:t>
            </w:r>
          </w:p>
        </w:tc>
      </w:tr>
      <w:tr>
        <w:tblPrEx>
          <w:tblLayout w:type="fixed"/>
          <w:tblCellMar>
            <w:top w:w="0" w:type="dxa"/>
            <w:left w:w="15" w:type="dxa"/>
            <w:bottom w:w="0" w:type="dxa"/>
            <w:right w:w="15" w:type="dxa"/>
          </w:tblCellMar>
        </w:tblPrEx>
        <w:trPr>
          <w:trHeight w:val="981"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szCs w:val="24"/>
              </w:rPr>
            </w:pPr>
            <w:r>
              <w:rPr>
                <w:rFonts w:ascii="宋体" w:hAnsi="宋体"/>
                <w:color w:val="000000"/>
                <w:sz w:val="24"/>
                <w:szCs w:val="24"/>
              </w:rPr>
              <w:t>11</w:t>
            </w:r>
          </w:p>
        </w:tc>
        <w:tc>
          <w:tcPr>
            <w:tcW w:w="452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szCs w:val="24"/>
              </w:rPr>
            </w:pPr>
            <w:r>
              <w:rPr>
                <w:rFonts w:ascii="宋体" w:hAnsi="宋体"/>
                <w:color w:val="000000"/>
                <w:sz w:val="24"/>
                <w:szCs w:val="24"/>
              </w:rPr>
              <w:t>实施重点康复项目，为城乡贫困残疾人、重度残疾人提供基本康复服务。</w:t>
            </w:r>
          </w:p>
        </w:tc>
        <w:tc>
          <w:tcPr>
            <w:tcW w:w="23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color w:val="000000"/>
                <w:sz w:val="24"/>
                <w:szCs w:val="24"/>
              </w:rPr>
            </w:pPr>
            <w:r>
              <w:rPr>
                <w:rFonts w:ascii="宋体" w:hAnsi="宋体"/>
                <w:color w:val="000000"/>
                <w:sz w:val="24"/>
                <w:szCs w:val="24"/>
              </w:rPr>
              <w:t>市残联</w:t>
            </w:r>
            <w:r>
              <w:rPr>
                <w:rFonts w:hint="eastAsia" w:ascii="宋体" w:hAnsi="宋体"/>
                <w:color w:val="000000"/>
                <w:sz w:val="24"/>
                <w:szCs w:val="24"/>
              </w:rPr>
              <w:t>、</w:t>
            </w:r>
            <w:r>
              <w:rPr>
                <w:rFonts w:ascii="宋体" w:hAnsi="宋体"/>
                <w:color w:val="000000"/>
                <w:sz w:val="24"/>
                <w:szCs w:val="24"/>
              </w:rPr>
              <w:t>财政局、卫生和计划生育委员会、</w:t>
            </w:r>
          </w:p>
          <w:p>
            <w:pPr>
              <w:autoSpaceDN w:val="0"/>
              <w:jc w:val="left"/>
              <w:textAlignment w:val="center"/>
              <w:rPr>
                <w:rFonts w:ascii="宋体" w:hAnsi="宋体"/>
                <w:color w:val="000000"/>
                <w:sz w:val="24"/>
                <w:szCs w:val="24"/>
              </w:rPr>
            </w:pPr>
            <w:r>
              <w:rPr>
                <w:rFonts w:ascii="宋体" w:hAnsi="宋体"/>
                <w:color w:val="000000"/>
                <w:sz w:val="24"/>
                <w:szCs w:val="24"/>
              </w:rPr>
              <w:t>民政局</w:t>
            </w:r>
          </w:p>
        </w:tc>
        <w:tc>
          <w:tcPr>
            <w:tcW w:w="16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szCs w:val="24"/>
              </w:rPr>
            </w:pPr>
            <w:r>
              <w:rPr>
                <w:rFonts w:ascii="宋体" w:hAnsi="宋体"/>
                <w:color w:val="000000"/>
                <w:sz w:val="24"/>
                <w:szCs w:val="24"/>
              </w:rPr>
              <w:t>持续实施</w:t>
            </w:r>
          </w:p>
        </w:tc>
      </w:tr>
      <w:tr>
        <w:tblPrEx>
          <w:tblLayout w:type="fixed"/>
          <w:tblCellMar>
            <w:top w:w="0" w:type="dxa"/>
            <w:left w:w="15" w:type="dxa"/>
            <w:bottom w:w="0" w:type="dxa"/>
            <w:right w:w="15" w:type="dxa"/>
          </w:tblCellMar>
        </w:tblPrEx>
        <w:trPr>
          <w:trHeight w:val="984"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szCs w:val="24"/>
              </w:rPr>
            </w:pPr>
            <w:r>
              <w:rPr>
                <w:rFonts w:ascii="宋体" w:hAnsi="宋体"/>
                <w:color w:val="000000"/>
                <w:sz w:val="24"/>
                <w:szCs w:val="24"/>
              </w:rPr>
              <w:t>12</w:t>
            </w:r>
          </w:p>
        </w:tc>
        <w:tc>
          <w:tcPr>
            <w:tcW w:w="452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szCs w:val="24"/>
              </w:rPr>
            </w:pPr>
            <w:r>
              <w:rPr>
                <w:rFonts w:ascii="宋体" w:hAnsi="宋体"/>
                <w:color w:val="000000"/>
                <w:sz w:val="24"/>
                <w:szCs w:val="24"/>
              </w:rPr>
              <w:t>将残疾人社区医疗康复纳入城乡基层医疗卫生机构考核内容。</w:t>
            </w:r>
          </w:p>
        </w:tc>
        <w:tc>
          <w:tcPr>
            <w:tcW w:w="23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szCs w:val="24"/>
              </w:rPr>
            </w:pPr>
            <w:r>
              <w:rPr>
                <w:rFonts w:ascii="宋体" w:hAnsi="宋体"/>
                <w:color w:val="000000"/>
                <w:sz w:val="24"/>
                <w:szCs w:val="24"/>
              </w:rPr>
              <w:t>市卫生和计划生育委员会</w:t>
            </w:r>
            <w:r>
              <w:rPr>
                <w:rFonts w:hint="eastAsia" w:ascii="宋体" w:hAnsi="宋体"/>
                <w:color w:val="000000"/>
                <w:sz w:val="24"/>
                <w:szCs w:val="24"/>
              </w:rPr>
              <w:t>、</w:t>
            </w:r>
            <w:r>
              <w:rPr>
                <w:rFonts w:ascii="宋体" w:hAnsi="宋体"/>
                <w:color w:val="000000"/>
                <w:sz w:val="24"/>
                <w:szCs w:val="24"/>
              </w:rPr>
              <w:t>民政局、残联</w:t>
            </w:r>
          </w:p>
        </w:tc>
        <w:tc>
          <w:tcPr>
            <w:tcW w:w="165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szCs w:val="24"/>
              </w:rPr>
            </w:pPr>
            <w:r>
              <w:rPr>
                <w:rFonts w:ascii="宋体" w:hAnsi="宋体"/>
                <w:color w:val="000000"/>
                <w:sz w:val="24"/>
                <w:szCs w:val="24"/>
              </w:rPr>
              <w:t>201</w:t>
            </w:r>
            <w:r>
              <w:rPr>
                <w:rFonts w:hint="eastAsia" w:ascii="宋体" w:hAnsi="宋体"/>
                <w:color w:val="000000"/>
                <w:sz w:val="24"/>
                <w:szCs w:val="24"/>
              </w:rPr>
              <w:t>6</w:t>
            </w:r>
            <w:r>
              <w:rPr>
                <w:rFonts w:ascii="宋体" w:hAnsi="宋体"/>
                <w:color w:val="000000"/>
                <w:sz w:val="24"/>
                <w:szCs w:val="24"/>
              </w:rPr>
              <w:t>年</w:t>
            </w:r>
            <w:r>
              <w:rPr>
                <w:rFonts w:hint="eastAsia" w:ascii="宋体" w:hAnsi="宋体"/>
                <w:color w:val="000000"/>
                <w:sz w:val="24"/>
                <w:szCs w:val="24"/>
              </w:rPr>
              <w:t>年</w:t>
            </w:r>
            <w:r>
              <w:rPr>
                <w:rFonts w:ascii="宋体" w:hAnsi="宋体"/>
                <w:color w:val="000000"/>
                <w:sz w:val="24"/>
                <w:szCs w:val="24"/>
              </w:rPr>
              <w:t>底前完成</w:t>
            </w:r>
          </w:p>
        </w:tc>
      </w:tr>
      <w:tr>
        <w:tblPrEx>
          <w:tblLayout w:type="fixed"/>
          <w:tblCellMar>
            <w:top w:w="0" w:type="dxa"/>
            <w:left w:w="15" w:type="dxa"/>
            <w:bottom w:w="0" w:type="dxa"/>
            <w:right w:w="15" w:type="dxa"/>
          </w:tblCellMar>
        </w:tblPrEx>
        <w:trPr>
          <w:trHeight w:val="1473"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szCs w:val="24"/>
              </w:rPr>
            </w:pPr>
            <w:r>
              <w:rPr>
                <w:rFonts w:ascii="宋体" w:hAnsi="宋体" w:eastAsia="宋体"/>
                <w:color w:val="000000"/>
                <w:sz w:val="24"/>
                <w:szCs w:val="24"/>
              </w:rPr>
              <w:t>13</w:t>
            </w:r>
          </w:p>
        </w:tc>
        <w:tc>
          <w:tcPr>
            <w:tcW w:w="452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pacing w:val="-4"/>
                <w:sz w:val="24"/>
                <w:szCs w:val="24"/>
              </w:rPr>
            </w:pPr>
            <w:r>
              <w:rPr>
                <w:rFonts w:ascii="宋体" w:hAnsi="宋体"/>
                <w:color w:val="000000"/>
                <w:spacing w:val="-4"/>
                <w:sz w:val="24"/>
                <w:szCs w:val="24"/>
              </w:rPr>
              <w:t>提高残疾儿童接受学前教育的比例，切实解决未入学适龄残疾儿童少年义务教育问题，推行全纳教育，建立随班就读支持保障体系。</w:t>
            </w:r>
          </w:p>
        </w:tc>
        <w:tc>
          <w:tcPr>
            <w:tcW w:w="23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color w:val="000000"/>
                <w:sz w:val="24"/>
                <w:szCs w:val="24"/>
              </w:rPr>
            </w:pPr>
            <w:r>
              <w:rPr>
                <w:rFonts w:ascii="宋体" w:hAnsi="宋体"/>
                <w:color w:val="000000"/>
                <w:sz w:val="24"/>
                <w:szCs w:val="24"/>
              </w:rPr>
              <w:t>市教育局</w:t>
            </w:r>
            <w:r>
              <w:rPr>
                <w:rFonts w:hint="eastAsia" w:ascii="宋体" w:hAnsi="宋体"/>
                <w:color w:val="000000"/>
                <w:sz w:val="24"/>
                <w:szCs w:val="24"/>
              </w:rPr>
              <w:t>、</w:t>
            </w:r>
            <w:r>
              <w:rPr>
                <w:rFonts w:ascii="宋体" w:hAnsi="宋体"/>
                <w:color w:val="000000"/>
                <w:sz w:val="24"/>
                <w:szCs w:val="24"/>
              </w:rPr>
              <w:t>财政局、</w:t>
            </w:r>
          </w:p>
          <w:p>
            <w:pPr>
              <w:autoSpaceDN w:val="0"/>
              <w:jc w:val="left"/>
              <w:textAlignment w:val="center"/>
              <w:rPr>
                <w:rFonts w:ascii="宋体" w:hAnsi="宋体"/>
                <w:color w:val="000000"/>
                <w:sz w:val="24"/>
                <w:szCs w:val="24"/>
              </w:rPr>
            </w:pPr>
            <w:r>
              <w:rPr>
                <w:rFonts w:ascii="宋体" w:hAnsi="宋体"/>
                <w:color w:val="000000"/>
                <w:sz w:val="24"/>
                <w:szCs w:val="24"/>
              </w:rPr>
              <w:t>残联</w:t>
            </w:r>
          </w:p>
        </w:tc>
        <w:tc>
          <w:tcPr>
            <w:tcW w:w="16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szCs w:val="24"/>
              </w:rPr>
            </w:pPr>
            <w:r>
              <w:rPr>
                <w:rFonts w:ascii="宋体" w:hAnsi="宋体"/>
                <w:color w:val="000000"/>
                <w:sz w:val="24"/>
                <w:szCs w:val="24"/>
              </w:rPr>
              <w:t>持续实施</w:t>
            </w:r>
          </w:p>
        </w:tc>
      </w:tr>
      <w:tr>
        <w:tblPrEx>
          <w:tblLayout w:type="fixed"/>
          <w:tblCellMar>
            <w:top w:w="0" w:type="dxa"/>
            <w:left w:w="15" w:type="dxa"/>
            <w:bottom w:w="0" w:type="dxa"/>
            <w:right w:w="15" w:type="dxa"/>
          </w:tblCellMar>
        </w:tblPrEx>
        <w:trPr>
          <w:trHeight w:val="1082"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szCs w:val="24"/>
              </w:rPr>
            </w:pPr>
            <w:r>
              <w:rPr>
                <w:rFonts w:ascii="宋体" w:hAnsi="宋体" w:eastAsia="宋体"/>
                <w:color w:val="000000"/>
                <w:sz w:val="24"/>
                <w:szCs w:val="24"/>
              </w:rPr>
              <w:t>14</w:t>
            </w:r>
          </w:p>
        </w:tc>
        <w:tc>
          <w:tcPr>
            <w:tcW w:w="452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pacing w:val="-4"/>
                <w:sz w:val="24"/>
                <w:szCs w:val="24"/>
              </w:rPr>
            </w:pPr>
            <w:r>
              <w:rPr>
                <w:rFonts w:ascii="宋体" w:hAnsi="宋体"/>
                <w:color w:val="000000"/>
                <w:spacing w:val="-4"/>
                <w:sz w:val="24"/>
                <w:szCs w:val="24"/>
              </w:rPr>
              <w:t>义务教育阶段特殊教育学校年生均预算内公用经费标准2016年达到6000元，</w:t>
            </w:r>
            <w:r>
              <w:rPr>
                <w:rFonts w:hint="eastAsia" w:ascii="宋体" w:hAnsi="宋体"/>
                <w:color w:val="000000"/>
                <w:spacing w:val="-4"/>
                <w:sz w:val="24"/>
                <w:szCs w:val="24"/>
              </w:rPr>
              <w:t>并逐步</w:t>
            </w:r>
            <w:r>
              <w:rPr>
                <w:rFonts w:ascii="宋体" w:hAnsi="宋体"/>
                <w:color w:val="000000"/>
                <w:spacing w:val="-4"/>
                <w:sz w:val="24"/>
                <w:szCs w:val="24"/>
              </w:rPr>
              <w:t>提高。</w:t>
            </w:r>
          </w:p>
        </w:tc>
        <w:tc>
          <w:tcPr>
            <w:tcW w:w="23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szCs w:val="24"/>
              </w:rPr>
            </w:pPr>
            <w:r>
              <w:rPr>
                <w:rFonts w:ascii="宋体" w:hAnsi="宋体"/>
                <w:color w:val="000000"/>
                <w:sz w:val="24"/>
                <w:szCs w:val="24"/>
              </w:rPr>
              <w:t>市发展和改革委员会</w:t>
            </w:r>
            <w:r>
              <w:rPr>
                <w:rFonts w:hint="eastAsia" w:ascii="宋体" w:hAnsi="宋体"/>
                <w:color w:val="000000"/>
                <w:sz w:val="24"/>
                <w:szCs w:val="24"/>
              </w:rPr>
              <w:t>、</w:t>
            </w:r>
            <w:r>
              <w:rPr>
                <w:rFonts w:ascii="宋体" w:hAnsi="宋体"/>
                <w:color w:val="000000"/>
                <w:sz w:val="24"/>
                <w:szCs w:val="24"/>
              </w:rPr>
              <w:t>教育局、财政局、残联</w:t>
            </w:r>
          </w:p>
        </w:tc>
        <w:tc>
          <w:tcPr>
            <w:tcW w:w="16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szCs w:val="24"/>
              </w:rPr>
            </w:pPr>
            <w:r>
              <w:rPr>
                <w:rFonts w:ascii="宋体" w:hAnsi="宋体"/>
                <w:color w:val="000000"/>
                <w:sz w:val="24"/>
                <w:szCs w:val="24"/>
              </w:rPr>
              <w:t>加强落实</w:t>
            </w:r>
          </w:p>
        </w:tc>
      </w:tr>
      <w:tr>
        <w:tblPrEx>
          <w:tblLayout w:type="fixed"/>
          <w:tblCellMar>
            <w:top w:w="0" w:type="dxa"/>
            <w:left w:w="15" w:type="dxa"/>
            <w:bottom w:w="0" w:type="dxa"/>
            <w:right w:w="15" w:type="dxa"/>
          </w:tblCellMar>
        </w:tblPrEx>
        <w:trPr>
          <w:trHeight w:val="1515"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szCs w:val="24"/>
              </w:rPr>
            </w:pPr>
            <w:r>
              <w:rPr>
                <w:rFonts w:ascii="宋体" w:hAnsi="宋体"/>
                <w:color w:val="000000"/>
                <w:sz w:val="24"/>
                <w:szCs w:val="24"/>
              </w:rPr>
              <w:t>15</w:t>
            </w:r>
          </w:p>
        </w:tc>
        <w:tc>
          <w:tcPr>
            <w:tcW w:w="452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szCs w:val="24"/>
              </w:rPr>
            </w:pPr>
            <w:r>
              <w:rPr>
                <w:rFonts w:ascii="宋体" w:hAnsi="宋体"/>
                <w:color w:val="000000"/>
                <w:sz w:val="24"/>
                <w:szCs w:val="24"/>
              </w:rPr>
              <w:t>推动发展以职业教育为重点的残疾人高中阶段教育，从2015年秋季学期起实施残疾学生免费中等职业教育，积极推进高中阶段免费教育。</w:t>
            </w:r>
          </w:p>
        </w:tc>
        <w:tc>
          <w:tcPr>
            <w:tcW w:w="23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color w:val="000000"/>
                <w:sz w:val="24"/>
                <w:szCs w:val="24"/>
              </w:rPr>
            </w:pPr>
            <w:r>
              <w:rPr>
                <w:rFonts w:ascii="宋体" w:hAnsi="宋体"/>
                <w:color w:val="000000"/>
                <w:sz w:val="24"/>
                <w:szCs w:val="24"/>
              </w:rPr>
              <w:t>市教育局</w:t>
            </w:r>
            <w:r>
              <w:rPr>
                <w:rFonts w:hint="eastAsia" w:ascii="宋体" w:hAnsi="宋体"/>
                <w:color w:val="000000"/>
                <w:sz w:val="24"/>
                <w:szCs w:val="24"/>
              </w:rPr>
              <w:t>、</w:t>
            </w:r>
            <w:r>
              <w:rPr>
                <w:rFonts w:ascii="宋体" w:hAnsi="宋体"/>
                <w:color w:val="000000"/>
                <w:sz w:val="24"/>
                <w:szCs w:val="24"/>
              </w:rPr>
              <w:t>财政局、</w:t>
            </w:r>
          </w:p>
          <w:p>
            <w:pPr>
              <w:autoSpaceDN w:val="0"/>
              <w:jc w:val="left"/>
              <w:textAlignment w:val="center"/>
              <w:rPr>
                <w:rFonts w:ascii="宋体" w:hAnsi="宋体"/>
                <w:color w:val="000000"/>
                <w:sz w:val="24"/>
                <w:szCs w:val="24"/>
              </w:rPr>
            </w:pPr>
            <w:r>
              <w:rPr>
                <w:rFonts w:ascii="宋体" w:hAnsi="宋体"/>
                <w:color w:val="000000"/>
                <w:sz w:val="24"/>
                <w:szCs w:val="24"/>
              </w:rPr>
              <w:t>残联</w:t>
            </w:r>
          </w:p>
        </w:tc>
        <w:tc>
          <w:tcPr>
            <w:tcW w:w="16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szCs w:val="24"/>
              </w:rPr>
            </w:pPr>
            <w:r>
              <w:rPr>
                <w:rFonts w:ascii="宋体" w:hAnsi="宋体"/>
                <w:color w:val="000000"/>
                <w:sz w:val="24"/>
                <w:szCs w:val="24"/>
              </w:rPr>
              <w:t>加强落实</w:t>
            </w:r>
          </w:p>
        </w:tc>
      </w:tr>
      <w:tr>
        <w:tblPrEx>
          <w:tblLayout w:type="fixed"/>
          <w:tblCellMar>
            <w:top w:w="0" w:type="dxa"/>
            <w:left w:w="15" w:type="dxa"/>
            <w:bottom w:w="0" w:type="dxa"/>
            <w:right w:w="15" w:type="dxa"/>
          </w:tblCellMar>
        </w:tblPrEx>
        <w:trPr>
          <w:trHeight w:val="1587"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szCs w:val="24"/>
              </w:rPr>
            </w:pPr>
            <w:r>
              <w:rPr>
                <w:rFonts w:ascii="宋体" w:hAnsi="宋体"/>
                <w:color w:val="000000"/>
                <w:sz w:val="24"/>
                <w:szCs w:val="24"/>
              </w:rPr>
              <w:t>16</w:t>
            </w:r>
          </w:p>
        </w:tc>
        <w:tc>
          <w:tcPr>
            <w:tcW w:w="452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szCs w:val="24"/>
              </w:rPr>
            </w:pPr>
            <w:r>
              <w:rPr>
                <w:rFonts w:ascii="宋体" w:hAnsi="宋体"/>
                <w:color w:val="000000"/>
                <w:sz w:val="24"/>
                <w:szCs w:val="24"/>
              </w:rPr>
              <w:t>加强残疾人康复、托养等服务设施建设。</w:t>
            </w:r>
          </w:p>
        </w:tc>
        <w:tc>
          <w:tcPr>
            <w:tcW w:w="23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color w:val="000000"/>
                <w:sz w:val="24"/>
                <w:szCs w:val="24"/>
              </w:rPr>
            </w:pPr>
            <w:r>
              <w:rPr>
                <w:rFonts w:ascii="宋体" w:hAnsi="宋体"/>
                <w:color w:val="000000"/>
                <w:sz w:val="24"/>
                <w:szCs w:val="24"/>
              </w:rPr>
              <w:t>市发展和改革委员会</w:t>
            </w:r>
            <w:r>
              <w:rPr>
                <w:rFonts w:hint="eastAsia" w:ascii="宋体" w:hAnsi="宋体"/>
                <w:color w:val="000000"/>
                <w:sz w:val="24"/>
                <w:szCs w:val="24"/>
              </w:rPr>
              <w:t>、</w:t>
            </w:r>
            <w:r>
              <w:rPr>
                <w:rFonts w:ascii="宋体" w:hAnsi="宋体"/>
                <w:color w:val="000000"/>
                <w:sz w:val="24"/>
                <w:szCs w:val="24"/>
              </w:rPr>
              <w:t>民政局、财政局、卫生和计划生育委员会、</w:t>
            </w:r>
          </w:p>
          <w:p>
            <w:pPr>
              <w:autoSpaceDN w:val="0"/>
              <w:jc w:val="left"/>
              <w:textAlignment w:val="center"/>
              <w:rPr>
                <w:rFonts w:ascii="宋体" w:hAnsi="宋体"/>
                <w:color w:val="000000"/>
                <w:sz w:val="24"/>
                <w:szCs w:val="24"/>
              </w:rPr>
            </w:pPr>
            <w:r>
              <w:rPr>
                <w:rFonts w:ascii="宋体" w:hAnsi="宋体"/>
                <w:color w:val="000000"/>
                <w:sz w:val="24"/>
                <w:szCs w:val="24"/>
              </w:rPr>
              <w:t>残联</w:t>
            </w:r>
          </w:p>
        </w:tc>
        <w:tc>
          <w:tcPr>
            <w:tcW w:w="16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szCs w:val="24"/>
              </w:rPr>
            </w:pPr>
            <w:r>
              <w:rPr>
                <w:rFonts w:ascii="宋体" w:hAnsi="宋体"/>
                <w:color w:val="000000"/>
                <w:sz w:val="24"/>
                <w:szCs w:val="24"/>
              </w:rPr>
              <w:t>持续实施</w:t>
            </w:r>
          </w:p>
        </w:tc>
      </w:tr>
      <w:tr>
        <w:tblPrEx>
          <w:tblLayout w:type="fixed"/>
          <w:tblCellMar>
            <w:top w:w="0" w:type="dxa"/>
            <w:left w:w="15" w:type="dxa"/>
            <w:bottom w:w="0" w:type="dxa"/>
            <w:right w:w="15" w:type="dxa"/>
          </w:tblCellMar>
        </w:tblPrEx>
        <w:trPr>
          <w:trHeight w:val="1920"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szCs w:val="24"/>
              </w:rPr>
            </w:pPr>
            <w:r>
              <w:rPr>
                <w:rFonts w:ascii="宋体" w:hAnsi="宋体"/>
                <w:color w:val="000000"/>
                <w:sz w:val="24"/>
                <w:szCs w:val="24"/>
              </w:rPr>
              <w:t>17</w:t>
            </w:r>
          </w:p>
        </w:tc>
        <w:tc>
          <w:tcPr>
            <w:tcW w:w="452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szCs w:val="24"/>
              </w:rPr>
            </w:pPr>
            <w:r>
              <w:rPr>
                <w:rFonts w:ascii="宋体" w:hAnsi="宋体"/>
                <w:color w:val="000000"/>
                <w:sz w:val="24"/>
                <w:szCs w:val="24"/>
              </w:rPr>
              <w:t>残疾人持残疾人证免费乘坐城市市区公共交通工具，乘坐其他公共交通工具，应给予优先购票和乘坐；其随身必备的辅助器具及导盲犬等工作犬，准予免费携带。</w:t>
            </w:r>
          </w:p>
        </w:tc>
        <w:tc>
          <w:tcPr>
            <w:tcW w:w="23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szCs w:val="24"/>
              </w:rPr>
            </w:pPr>
            <w:r>
              <w:rPr>
                <w:rFonts w:ascii="宋体" w:hAnsi="宋体"/>
                <w:color w:val="000000"/>
                <w:sz w:val="24"/>
                <w:szCs w:val="24"/>
              </w:rPr>
              <w:t>市交通运输局</w:t>
            </w:r>
            <w:r>
              <w:rPr>
                <w:rFonts w:hint="eastAsia" w:ascii="宋体" w:hAnsi="宋体"/>
                <w:color w:val="000000"/>
                <w:sz w:val="24"/>
                <w:szCs w:val="24"/>
              </w:rPr>
              <w:t>、</w:t>
            </w:r>
            <w:r>
              <w:rPr>
                <w:rFonts w:ascii="宋体" w:hAnsi="宋体"/>
                <w:color w:val="000000"/>
                <w:sz w:val="24"/>
                <w:szCs w:val="24"/>
              </w:rPr>
              <w:t>残联</w:t>
            </w:r>
          </w:p>
        </w:tc>
        <w:tc>
          <w:tcPr>
            <w:tcW w:w="16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szCs w:val="24"/>
              </w:rPr>
            </w:pPr>
            <w:r>
              <w:rPr>
                <w:rFonts w:ascii="宋体" w:hAnsi="宋体"/>
                <w:color w:val="000000"/>
                <w:sz w:val="24"/>
                <w:szCs w:val="24"/>
              </w:rPr>
              <w:t>持续实施</w:t>
            </w:r>
          </w:p>
        </w:tc>
      </w:tr>
      <w:tr>
        <w:tblPrEx>
          <w:tblLayout w:type="fixed"/>
          <w:tblCellMar>
            <w:top w:w="0" w:type="dxa"/>
            <w:left w:w="15" w:type="dxa"/>
            <w:bottom w:w="0" w:type="dxa"/>
            <w:right w:w="15" w:type="dxa"/>
          </w:tblCellMar>
        </w:tblPrEx>
        <w:trPr>
          <w:trHeight w:val="2842"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szCs w:val="24"/>
              </w:rPr>
            </w:pPr>
            <w:r>
              <w:rPr>
                <w:rFonts w:ascii="宋体" w:hAnsi="宋体"/>
                <w:color w:val="000000"/>
                <w:sz w:val="24"/>
                <w:szCs w:val="24"/>
              </w:rPr>
              <w:t>18</w:t>
            </w:r>
          </w:p>
        </w:tc>
        <w:tc>
          <w:tcPr>
            <w:tcW w:w="452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szCs w:val="24"/>
              </w:rPr>
            </w:pPr>
            <w:r>
              <w:rPr>
                <w:rFonts w:ascii="宋体" w:hAnsi="宋体"/>
                <w:color w:val="000000"/>
                <w:sz w:val="24"/>
                <w:szCs w:val="24"/>
              </w:rPr>
              <w:t>有条件的公共图书馆设立盲文和盲文有声读物阅览室，培养特殊艺术人才和残疾人文化艺术品牌；推动各集聚</w:t>
            </w:r>
            <w:r>
              <w:rPr>
                <w:rFonts w:hint="eastAsia" w:ascii="宋体" w:hAnsi="宋体"/>
                <w:color w:val="000000"/>
                <w:sz w:val="24"/>
                <w:szCs w:val="24"/>
              </w:rPr>
              <w:t>（开发）</w:t>
            </w:r>
            <w:r>
              <w:rPr>
                <w:rFonts w:ascii="宋体" w:hAnsi="宋体"/>
                <w:color w:val="000000"/>
                <w:sz w:val="24"/>
                <w:szCs w:val="24"/>
              </w:rPr>
              <w:t>区、镇（街道）建成一批残疾人体育健身示范点，通过社会体育指导员普及一批适合残疾人的体育健身项目。</w:t>
            </w:r>
          </w:p>
        </w:tc>
        <w:tc>
          <w:tcPr>
            <w:tcW w:w="23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color w:val="000000"/>
                <w:sz w:val="24"/>
                <w:szCs w:val="24"/>
              </w:rPr>
            </w:pPr>
            <w:r>
              <w:rPr>
                <w:rFonts w:ascii="宋体" w:hAnsi="宋体"/>
                <w:color w:val="000000"/>
                <w:sz w:val="24"/>
                <w:szCs w:val="24"/>
              </w:rPr>
              <w:t>市发展和改革委员会</w:t>
            </w:r>
            <w:r>
              <w:rPr>
                <w:rFonts w:hint="eastAsia" w:ascii="宋体" w:hAnsi="宋体"/>
                <w:color w:val="000000"/>
                <w:sz w:val="24"/>
                <w:szCs w:val="24"/>
              </w:rPr>
              <w:t>、</w:t>
            </w:r>
            <w:r>
              <w:rPr>
                <w:rFonts w:ascii="宋体" w:hAnsi="宋体"/>
                <w:color w:val="000000"/>
                <w:sz w:val="24"/>
                <w:szCs w:val="24"/>
              </w:rPr>
              <w:t>财政局、文化广电新闻出版局、体育局、住房和城乡建设局、国土资源局、城乡规划局、</w:t>
            </w:r>
          </w:p>
          <w:p>
            <w:pPr>
              <w:autoSpaceDN w:val="0"/>
              <w:jc w:val="left"/>
              <w:textAlignment w:val="center"/>
              <w:rPr>
                <w:rFonts w:ascii="宋体" w:hAnsi="宋体"/>
                <w:color w:val="000000"/>
                <w:sz w:val="24"/>
                <w:szCs w:val="24"/>
              </w:rPr>
            </w:pPr>
            <w:r>
              <w:rPr>
                <w:rFonts w:ascii="宋体" w:hAnsi="宋体"/>
                <w:color w:val="000000"/>
                <w:sz w:val="24"/>
                <w:szCs w:val="24"/>
              </w:rPr>
              <w:t>残联</w:t>
            </w:r>
          </w:p>
        </w:tc>
        <w:tc>
          <w:tcPr>
            <w:tcW w:w="16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szCs w:val="24"/>
              </w:rPr>
            </w:pPr>
            <w:r>
              <w:rPr>
                <w:rFonts w:ascii="宋体" w:hAnsi="宋体"/>
                <w:color w:val="000000"/>
                <w:sz w:val="24"/>
                <w:szCs w:val="24"/>
              </w:rPr>
              <w:t>持续实施</w:t>
            </w:r>
          </w:p>
        </w:tc>
      </w:tr>
      <w:tr>
        <w:tblPrEx>
          <w:tblLayout w:type="fixed"/>
          <w:tblCellMar>
            <w:top w:w="0" w:type="dxa"/>
            <w:left w:w="15" w:type="dxa"/>
            <w:bottom w:w="0" w:type="dxa"/>
            <w:right w:w="15" w:type="dxa"/>
          </w:tblCellMar>
        </w:tblPrEx>
        <w:trPr>
          <w:trHeight w:val="3695"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szCs w:val="24"/>
              </w:rPr>
            </w:pPr>
            <w:r>
              <w:rPr>
                <w:rFonts w:ascii="宋体" w:hAnsi="宋体"/>
                <w:color w:val="000000"/>
                <w:sz w:val="24"/>
                <w:szCs w:val="24"/>
              </w:rPr>
              <w:t>19</w:t>
            </w:r>
          </w:p>
        </w:tc>
        <w:tc>
          <w:tcPr>
            <w:tcW w:w="452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szCs w:val="24"/>
              </w:rPr>
            </w:pPr>
            <w:r>
              <w:rPr>
                <w:rFonts w:ascii="宋体" w:hAnsi="宋体"/>
                <w:color w:val="000000"/>
                <w:sz w:val="24"/>
                <w:szCs w:val="24"/>
              </w:rPr>
              <w:t>按照无障碍设施工程建设相关标准和规范要求，对新建、改建设施的规划、设计、施工、验收严格监管，加快推进政府机关、学校、社区、社会福利、公共交通等公共场所和设施的无障碍改造，市中心城区要配备方便残疾人出行的无障碍公共交通工具；完善信息无障碍标准体系，逐步推进政务信息以无障碍方式发布、音响制品加配字幕。</w:t>
            </w:r>
          </w:p>
        </w:tc>
        <w:tc>
          <w:tcPr>
            <w:tcW w:w="23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szCs w:val="24"/>
              </w:rPr>
            </w:pPr>
            <w:r>
              <w:rPr>
                <w:rFonts w:ascii="宋体" w:hAnsi="宋体"/>
                <w:color w:val="000000"/>
                <w:sz w:val="24"/>
                <w:szCs w:val="24"/>
              </w:rPr>
              <w:t>市住房和城乡建设局</w:t>
            </w:r>
            <w:r>
              <w:rPr>
                <w:rFonts w:hint="eastAsia" w:ascii="宋体" w:hAnsi="宋体"/>
                <w:color w:val="000000"/>
                <w:sz w:val="24"/>
                <w:szCs w:val="24"/>
              </w:rPr>
              <w:t>、</w:t>
            </w:r>
            <w:r>
              <w:rPr>
                <w:rFonts w:ascii="宋体" w:hAnsi="宋体"/>
                <w:color w:val="000000"/>
                <w:sz w:val="24"/>
                <w:szCs w:val="24"/>
              </w:rPr>
              <w:t>发展和改革委员会、民政局、财政局、交通运输局、教育局、卫生和计划生育委员会、工业和信息化</w:t>
            </w:r>
            <w:r>
              <w:rPr>
                <w:rFonts w:hint="eastAsia" w:ascii="宋体" w:hAnsi="宋体"/>
                <w:color w:val="000000"/>
                <w:sz w:val="24"/>
                <w:szCs w:val="24"/>
              </w:rPr>
              <w:t>委员会</w:t>
            </w:r>
            <w:r>
              <w:rPr>
                <w:rFonts w:ascii="宋体" w:hAnsi="宋体"/>
                <w:color w:val="000000"/>
                <w:sz w:val="24"/>
                <w:szCs w:val="24"/>
              </w:rPr>
              <w:t>、质量技术监督局、</w:t>
            </w:r>
            <w:r>
              <w:rPr>
                <w:rFonts w:hint="eastAsia" w:ascii="宋体" w:hAnsi="宋体"/>
                <w:color w:val="000000"/>
                <w:sz w:val="24"/>
                <w:szCs w:val="24"/>
              </w:rPr>
              <w:t>城乡规划局、</w:t>
            </w:r>
            <w:r>
              <w:rPr>
                <w:rFonts w:ascii="宋体" w:hAnsi="宋体"/>
                <w:color w:val="000000"/>
                <w:sz w:val="24"/>
                <w:szCs w:val="24"/>
              </w:rPr>
              <w:t>残联</w:t>
            </w:r>
          </w:p>
        </w:tc>
        <w:tc>
          <w:tcPr>
            <w:tcW w:w="16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szCs w:val="24"/>
              </w:rPr>
            </w:pPr>
            <w:r>
              <w:rPr>
                <w:rFonts w:ascii="宋体" w:hAnsi="宋体"/>
                <w:color w:val="000000"/>
                <w:sz w:val="24"/>
                <w:szCs w:val="24"/>
              </w:rPr>
              <w:t>持续实施</w:t>
            </w:r>
          </w:p>
        </w:tc>
      </w:tr>
      <w:tr>
        <w:tblPrEx>
          <w:tblLayout w:type="fixed"/>
          <w:tblCellMar>
            <w:top w:w="0" w:type="dxa"/>
            <w:left w:w="15" w:type="dxa"/>
            <w:bottom w:w="0" w:type="dxa"/>
            <w:right w:w="15" w:type="dxa"/>
          </w:tblCellMar>
        </w:tblPrEx>
        <w:trPr>
          <w:trHeight w:val="1012"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szCs w:val="24"/>
              </w:rPr>
            </w:pPr>
            <w:r>
              <w:rPr>
                <w:rFonts w:ascii="宋体" w:hAnsi="宋体"/>
                <w:color w:val="000000"/>
                <w:sz w:val="24"/>
                <w:szCs w:val="24"/>
              </w:rPr>
              <w:t>20</w:t>
            </w:r>
          </w:p>
        </w:tc>
        <w:tc>
          <w:tcPr>
            <w:tcW w:w="452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szCs w:val="24"/>
              </w:rPr>
            </w:pPr>
            <w:r>
              <w:rPr>
                <w:rFonts w:ascii="宋体" w:hAnsi="宋体"/>
                <w:color w:val="000000"/>
                <w:sz w:val="24"/>
                <w:szCs w:val="24"/>
              </w:rPr>
              <w:t>鼓励食品药品添加无障碍识别标识。</w:t>
            </w:r>
          </w:p>
        </w:tc>
        <w:tc>
          <w:tcPr>
            <w:tcW w:w="23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szCs w:val="24"/>
              </w:rPr>
            </w:pPr>
            <w:r>
              <w:rPr>
                <w:rFonts w:ascii="宋体" w:hAnsi="宋体"/>
                <w:color w:val="000000"/>
                <w:sz w:val="24"/>
                <w:szCs w:val="24"/>
              </w:rPr>
              <w:t>市食品药品监督管理局</w:t>
            </w:r>
            <w:r>
              <w:rPr>
                <w:rFonts w:hint="eastAsia" w:ascii="宋体" w:hAnsi="宋体"/>
                <w:color w:val="000000"/>
                <w:sz w:val="24"/>
                <w:szCs w:val="24"/>
              </w:rPr>
              <w:t>、</w:t>
            </w:r>
            <w:r>
              <w:rPr>
                <w:rFonts w:ascii="宋体" w:hAnsi="宋体"/>
                <w:color w:val="000000"/>
                <w:sz w:val="24"/>
                <w:szCs w:val="24"/>
              </w:rPr>
              <w:t>残联</w:t>
            </w:r>
          </w:p>
        </w:tc>
        <w:tc>
          <w:tcPr>
            <w:tcW w:w="16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szCs w:val="24"/>
              </w:rPr>
            </w:pPr>
            <w:r>
              <w:rPr>
                <w:rFonts w:ascii="宋体" w:hAnsi="宋体"/>
                <w:color w:val="000000"/>
                <w:sz w:val="24"/>
                <w:szCs w:val="24"/>
              </w:rPr>
              <w:t>持续实施</w:t>
            </w:r>
          </w:p>
        </w:tc>
      </w:tr>
      <w:tr>
        <w:tblPrEx>
          <w:tblLayout w:type="fixed"/>
          <w:tblCellMar>
            <w:top w:w="0" w:type="dxa"/>
            <w:left w:w="15" w:type="dxa"/>
            <w:bottom w:w="0" w:type="dxa"/>
            <w:right w:w="15" w:type="dxa"/>
          </w:tblCellMar>
        </w:tblPrEx>
        <w:trPr>
          <w:trHeight w:val="1000"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szCs w:val="24"/>
              </w:rPr>
            </w:pPr>
            <w:r>
              <w:rPr>
                <w:rFonts w:ascii="宋体" w:hAnsi="宋体"/>
                <w:color w:val="000000"/>
                <w:sz w:val="24"/>
                <w:szCs w:val="24"/>
              </w:rPr>
              <w:t>21</w:t>
            </w:r>
          </w:p>
        </w:tc>
        <w:tc>
          <w:tcPr>
            <w:tcW w:w="452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szCs w:val="24"/>
              </w:rPr>
            </w:pPr>
            <w:r>
              <w:rPr>
                <w:rFonts w:hint="eastAsia" w:ascii="宋体" w:hAnsi="宋体"/>
                <w:color w:val="000000"/>
                <w:sz w:val="24"/>
                <w:szCs w:val="24"/>
              </w:rPr>
              <w:t>电视台要开办手语栏目，</w:t>
            </w:r>
            <w:r>
              <w:rPr>
                <w:rFonts w:ascii="宋体" w:hAnsi="宋体"/>
                <w:color w:val="000000"/>
                <w:sz w:val="24"/>
                <w:szCs w:val="24"/>
              </w:rPr>
              <w:t>主要新闻栏目加配手语解说和字幕。</w:t>
            </w:r>
          </w:p>
        </w:tc>
        <w:tc>
          <w:tcPr>
            <w:tcW w:w="23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szCs w:val="24"/>
              </w:rPr>
            </w:pPr>
            <w:r>
              <w:rPr>
                <w:rFonts w:ascii="宋体" w:hAnsi="宋体"/>
                <w:color w:val="000000"/>
                <w:sz w:val="24"/>
                <w:szCs w:val="24"/>
              </w:rPr>
              <w:t>市文化广电新闻出版局</w:t>
            </w:r>
            <w:r>
              <w:rPr>
                <w:rFonts w:hint="eastAsia" w:ascii="宋体" w:hAnsi="宋体"/>
                <w:color w:val="000000"/>
                <w:sz w:val="24"/>
                <w:szCs w:val="24"/>
              </w:rPr>
              <w:t>、</w:t>
            </w:r>
            <w:r>
              <w:rPr>
                <w:rFonts w:ascii="宋体" w:hAnsi="宋体"/>
                <w:color w:val="000000"/>
                <w:sz w:val="24"/>
                <w:szCs w:val="24"/>
              </w:rPr>
              <w:t>电视台、残联</w:t>
            </w:r>
          </w:p>
        </w:tc>
        <w:tc>
          <w:tcPr>
            <w:tcW w:w="16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szCs w:val="24"/>
              </w:rPr>
            </w:pPr>
            <w:r>
              <w:rPr>
                <w:rFonts w:ascii="宋体" w:hAnsi="宋体"/>
                <w:color w:val="000000"/>
                <w:sz w:val="24"/>
                <w:szCs w:val="24"/>
              </w:rPr>
              <w:t>持续实施</w:t>
            </w:r>
          </w:p>
        </w:tc>
      </w:tr>
      <w:tr>
        <w:tblPrEx>
          <w:tblLayout w:type="fixed"/>
          <w:tblCellMar>
            <w:top w:w="0" w:type="dxa"/>
            <w:left w:w="15" w:type="dxa"/>
            <w:bottom w:w="0" w:type="dxa"/>
            <w:right w:w="15" w:type="dxa"/>
          </w:tblCellMar>
        </w:tblPrEx>
        <w:trPr>
          <w:trHeight w:val="1503"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szCs w:val="24"/>
              </w:rPr>
            </w:pPr>
            <w:r>
              <w:rPr>
                <w:rFonts w:ascii="宋体" w:hAnsi="宋体"/>
                <w:color w:val="000000"/>
                <w:sz w:val="24"/>
                <w:szCs w:val="24"/>
              </w:rPr>
              <w:t>22</w:t>
            </w:r>
          </w:p>
        </w:tc>
        <w:tc>
          <w:tcPr>
            <w:tcW w:w="452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szCs w:val="24"/>
              </w:rPr>
            </w:pPr>
            <w:r>
              <w:rPr>
                <w:rFonts w:ascii="宋体" w:hAnsi="宋体"/>
                <w:color w:val="000000"/>
                <w:sz w:val="24"/>
                <w:szCs w:val="24"/>
              </w:rPr>
              <w:t xml:space="preserve">加快发展残疾人服务产业，将残疾人公共服务机构开展服务所需经费纳入公共财政的保障范围，放宽残疾人服务业市场准入，大力发展残疾人服务中小企业。 </w:t>
            </w:r>
          </w:p>
        </w:tc>
        <w:tc>
          <w:tcPr>
            <w:tcW w:w="23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szCs w:val="24"/>
              </w:rPr>
            </w:pPr>
            <w:r>
              <w:rPr>
                <w:rFonts w:ascii="宋体" w:hAnsi="宋体"/>
                <w:color w:val="000000"/>
                <w:sz w:val="24"/>
                <w:szCs w:val="24"/>
              </w:rPr>
              <w:t>市残联</w:t>
            </w:r>
            <w:r>
              <w:rPr>
                <w:rFonts w:hint="eastAsia" w:ascii="宋体" w:hAnsi="宋体"/>
                <w:color w:val="000000"/>
                <w:sz w:val="24"/>
                <w:szCs w:val="24"/>
              </w:rPr>
              <w:t>、</w:t>
            </w:r>
            <w:r>
              <w:rPr>
                <w:rFonts w:ascii="宋体" w:hAnsi="宋体"/>
                <w:color w:val="000000"/>
                <w:sz w:val="24"/>
                <w:szCs w:val="24"/>
              </w:rPr>
              <w:t>发展和改革委员会、民政局、财政局、科技局、工业和信息化</w:t>
            </w:r>
            <w:r>
              <w:rPr>
                <w:rFonts w:hint="eastAsia" w:ascii="宋体" w:hAnsi="宋体"/>
                <w:color w:val="000000"/>
                <w:sz w:val="24"/>
                <w:szCs w:val="24"/>
              </w:rPr>
              <w:t>委员会</w:t>
            </w:r>
          </w:p>
        </w:tc>
        <w:tc>
          <w:tcPr>
            <w:tcW w:w="165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szCs w:val="24"/>
              </w:rPr>
            </w:pPr>
            <w:r>
              <w:rPr>
                <w:rFonts w:ascii="宋体" w:hAnsi="宋体"/>
                <w:color w:val="000000"/>
                <w:sz w:val="24"/>
                <w:szCs w:val="24"/>
              </w:rPr>
              <w:t>201</w:t>
            </w:r>
            <w:r>
              <w:rPr>
                <w:rFonts w:hint="eastAsia" w:ascii="宋体" w:hAnsi="宋体"/>
                <w:color w:val="000000"/>
                <w:sz w:val="24"/>
                <w:szCs w:val="24"/>
              </w:rPr>
              <w:t>6</w:t>
            </w:r>
            <w:r>
              <w:rPr>
                <w:rFonts w:ascii="宋体" w:hAnsi="宋体"/>
                <w:color w:val="000000"/>
                <w:sz w:val="24"/>
                <w:szCs w:val="24"/>
              </w:rPr>
              <w:t>年</w:t>
            </w:r>
            <w:r>
              <w:rPr>
                <w:rFonts w:hint="eastAsia" w:ascii="宋体" w:hAnsi="宋体"/>
                <w:color w:val="000000"/>
                <w:sz w:val="24"/>
                <w:szCs w:val="24"/>
              </w:rPr>
              <w:t>年</w:t>
            </w:r>
            <w:r>
              <w:rPr>
                <w:rFonts w:ascii="宋体" w:hAnsi="宋体"/>
                <w:color w:val="000000"/>
                <w:sz w:val="24"/>
                <w:szCs w:val="24"/>
              </w:rPr>
              <w:t>底前出台具体政策措施</w:t>
            </w:r>
          </w:p>
        </w:tc>
      </w:tr>
      <w:tr>
        <w:tblPrEx>
          <w:tblLayout w:type="fixed"/>
          <w:tblCellMar>
            <w:top w:w="0" w:type="dxa"/>
            <w:left w:w="15" w:type="dxa"/>
            <w:bottom w:w="0" w:type="dxa"/>
            <w:right w:w="15" w:type="dxa"/>
          </w:tblCellMar>
        </w:tblPrEx>
        <w:trPr>
          <w:trHeight w:val="1448"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szCs w:val="24"/>
              </w:rPr>
            </w:pPr>
            <w:r>
              <w:rPr>
                <w:rFonts w:ascii="宋体" w:hAnsi="宋体"/>
                <w:color w:val="000000"/>
                <w:sz w:val="24"/>
                <w:szCs w:val="24"/>
              </w:rPr>
              <w:t>23</w:t>
            </w:r>
          </w:p>
        </w:tc>
        <w:tc>
          <w:tcPr>
            <w:tcW w:w="452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szCs w:val="24"/>
              </w:rPr>
            </w:pPr>
            <w:r>
              <w:rPr>
                <w:rFonts w:ascii="宋体" w:hAnsi="宋体"/>
                <w:color w:val="000000"/>
                <w:sz w:val="24"/>
                <w:szCs w:val="24"/>
              </w:rPr>
              <w:t>对残疾人服务企业在用地、金融、价格等方面给予优惠，在人才、技术、管理等方面给予扶持。</w:t>
            </w:r>
          </w:p>
        </w:tc>
        <w:tc>
          <w:tcPr>
            <w:tcW w:w="23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szCs w:val="24"/>
              </w:rPr>
            </w:pPr>
            <w:r>
              <w:rPr>
                <w:rFonts w:ascii="宋体" w:hAnsi="宋体"/>
                <w:color w:val="000000"/>
                <w:sz w:val="24"/>
                <w:szCs w:val="24"/>
              </w:rPr>
              <w:t>市残联</w:t>
            </w:r>
            <w:r>
              <w:rPr>
                <w:rFonts w:hint="eastAsia" w:ascii="宋体" w:hAnsi="宋体"/>
                <w:color w:val="000000"/>
                <w:sz w:val="24"/>
                <w:szCs w:val="24"/>
              </w:rPr>
              <w:t>、</w:t>
            </w:r>
            <w:r>
              <w:rPr>
                <w:rFonts w:ascii="宋体" w:hAnsi="宋体"/>
                <w:color w:val="000000"/>
                <w:sz w:val="24"/>
                <w:szCs w:val="24"/>
              </w:rPr>
              <w:t>发展和改革委员会、国土资源局、民政局、中国人民银行济源市</w:t>
            </w:r>
            <w:r>
              <w:rPr>
                <w:rFonts w:hint="eastAsia" w:ascii="宋体" w:hAnsi="宋体"/>
                <w:color w:val="000000"/>
                <w:sz w:val="24"/>
                <w:szCs w:val="24"/>
              </w:rPr>
              <w:t>中心</w:t>
            </w:r>
            <w:r>
              <w:rPr>
                <w:rFonts w:ascii="宋体" w:hAnsi="宋体"/>
                <w:color w:val="000000"/>
                <w:sz w:val="24"/>
                <w:szCs w:val="24"/>
              </w:rPr>
              <w:t>支行</w:t>
            </w:r>
          </w:p>
        </w:tc>
        <w:tc>
          <w:tcPr>
            <w:tcW w:w="165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szCs w:val="24"/>
              </w:rPr>
            </w:pPr>
            <w:r>
              <w:rPr>
                <w:rFonts w:ascii="宋体" w:hAnsi="宋体"/>
                <w:color w:val="000000"/>
                <w:sz w:val="24"/>
                <w:szCs w:val="24"/>
              </w:rPr>
              <w:t>20</w:t>
            </w:r>
            <w:r>
              <w:rPr>
                <w:rFonts w:hint="eastAsia" w:ascii="宋体" w:hAnsi="宋体"/>
                <w:color w:val="000000"/>
                <w:sz w:val="24"/>
                <w:szCs w:val="24"/>
              </w:rPr>
              <w:t>16</w:t>
            </w:r>
            <w:r>
              <w:rPr>
                <w:rFonts w:ascii="宋体" w:hAnsi="宋体"/>
                <w:color w:val="000000"/>
                <w:sz w:val="24"/>
                <w:szCs w:val="24"/>
              </w:rPr>
              <w:t>年</w:t>
            </w:r>
            <w:r>
              <w:rPr>
                <w:rFonts w:hint="eastAsia" w:ascii="宋体" w:hAnsi="宋体"/>
                <w:color w:val="000000"/>
                <w:sz w:val="24"/>
                <w:szCs w:val="24"/>
              </w:rPr>
              <w:t>年</w:t>
            </w:r>
            <w:r>
              <w:rPr>
                <w:rFonts w:ascii="宋体" w:hAnsi="宋体"/>
                <w:color w:val="000000"/>
                <w:sz w:val="24"/>
                <w:szCs w:val="24"/>
              </w:rPr>
              <w:t>底前出台具体政策措施</w:t>
            </w:r>
          </w:p>
        </w:tc>
      </w:tr>
      <w:tr>
        <w:tblPrEx>
          <w:tblLayout w:type="fixed"/>
          <w:tblCellMar>
            <w:top w:w="0" w:type="dxa"/>
            <w:left w:w="15" w:type="dxa"/>
            <w:bottom w:w="0" w:type="dxa"/>
            <w:right w:w="15" w:type="dxa"/>
          </w:tblCellMar>
        </w:tblPrEx>
        <w:trPr>
          <w:trHeight w:val="1305"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szCs w:val="24"/>
              </w:rPr>
            </w:pPr>
            <w:r>
              <w:rPr>
                <w:rFonts w:ascii="宋体" w:hAnsi="宋体"/>
                <w:color w:val="000000"/>
                <w:sz w:val="24"/>
                <w:szCs w:val="24"/>
              </w:rPr>
              <w:t>24</w:t>
            </w:r>
          </w:p>
        </w:tc>
        <w:tc>
          <w:tcPr>
            <w:tcW w:w="452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szCs w:val="24"/>
              </w:rPr>
            </w:pPr>
            <w:r>
              <w:rPr>
                <w:rFonts w:ascii="宋体" w:hAnsi="宋体"/>
                <w:color w:val="000000"/>
                <w:sz w:val="24"/>
                <w:szCs w:val="24"/>
              </w:rPr>
              <w:t>支持研发具有自主知识产权的为残疾人服务的技术和产品。</w:t>
            </w:r>
          </w:p>
        </w:tc>
        <w:tc>
          <w:tcPr>
            <w:tcW w:w="23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szCs w:val="24"/>
              </w:rPr>
            </w:pPr>
            <w:r>
              <w:rPr>
                <w:rFonts w:ascii="宋体" w:hAnsi="宋体"/>
                <w:color w:val="000000"/>
                <w:sz w:val="24"/>
                <w:szCs w:val="24"/>
              </w:rPr>
              <w:t>市科技局</w:t>
            </w:r>
            <w:r>
              <w:rPr>
                <w:rFonts w:hint="eastAsia" w:ascii="宋体" w:hAnsi="宋体"/>
                <w:color w:val="000000"/>
                <w:sz w:val="24"/>
                <w:szCs w:val="24"/>
              </w:rPr>
              <w:t>、</w:t>
            </w:r>
            <w:r>
              <w:rPr>
                <w:rFonts w:ascii="宋体" w:hAnsi="宋体"/>
                <w:color w:val="000000"/>
                <w:sz w:val="24"/>
                <w:szCs w:val="24"/>
              </w:rPr>
              <w:t>工业和信息化</w:t>
            </w:r>
            <w:r>
              <w:rPr>
                <w:rFonts w:hint="eastAsia" w:ascii="宋体" w:hAnsi="宋体"/>
                <w:color w:val="000000"/>
                <w:sz w:val="24"/>
                <w:szCs w:val="24"/>
              </w:rPr>
              <w:t>委员会</w:t>
            </w:r>
            <w:r>
              <w:rPr>
                <w:rFonts w:ascii="宋体" w:hAnsi="宋体"/>
                <w:color w:val="000000"/>
                <w:sz w:val="24"/>
                <w:szCs w:val="24"/>
              </w:rPr>
              <w:t>、教育局、民政局、财政局、残联</w:t>
            </w:r>
          </w:p>
        </w:tc>
        <w:tc>
          <w:tcPr>
            <w:tcW w:w="16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szCs w:val="24"/>
              </w:rPr>
            </w:pPr>
            <w:r>
              <w:rPr>
                <w:rFonts w:ascii="宋体" w:hAnsi="宋体"/>
                <w:color w:val="000000"/>
                <w:sz w:val="24"/>
                <w:szCs w:val="24"/>
              </w:rPr>
              <w:t>持续实施</w:t>
            </w:r>
          </w:p>
        </w:tc>
      </w:tr>
      <w:tr>
        <w:tblPrEx>
          <w:tblLayout w:type="fixed"/>
          <w:tblCellMar>
            <w:top w:w="0" w:type="dxa"/>
            <w:left w:w="15" w:type="dxa"/>
            <w:bottom w:w="0" w:type="dxa"/>
            <w:right w:w="15" w:type="dxa"/>
          </w:tblCellMar>
        </w:tblPrEx>
        <w:trPr>
          <w:trHeight w:val="1223"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szCs w:val="24"/>
              </w:rPr>
            </w:pPr>
            <w:r>
              <w:rPr>
                <w:rFonts w:ascii="宋体" w:hAnsi="宋体"/>
                <w:color w:val="000000"/>
                <w:sz w:val="24"/>
                <w:szCs w:val="24"/>
              </w:rPr>
              <w:t>25</w:t>
            </w:r>
          </w:p>
        </w:tc>
        <w:tc>
          <w:tcPr>
            <w:tcW w:w="452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szCs w:val="24"/>
              </w:rPr>
            </w:pPr>
            <w:r>
              <w:rPr>
                <w:rFonts w:ascii="宋体" w:hAnsi="宋体"/>
                <w:color w:val="000000"/>
                <w:sz w:val="24"/>
                <w:szCs w:val="24"/>
              </w:rPr>
              <w:t>以残疾人康复、托养、护理、培训、就业等服务为重点，逐步建立完善政府购买服务指导性目录，加大政府购买服务力度。</w:t>
            </w:r>
          </w:p>
        </w:tc>
        <w:tc>
          <w:tcPr>
            <w:tcW w:w="23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color w:val="000000"/>
                <w:sz w:val="24"/>
                <w:szCs w:val="24"/>
              </w:rPr>
            </w:pPr>
            <w:r>
              <w:rPr>
                <w:rFonts w:ascii="宋体" w:hAnsi="宋体"/>
                <w:color w:val="000000"/>
                <w:sz w:val="24"/>
                <w:szCs w:val="24"/>
              </w:rPr>
              <w:t>市民政局</w:t>
            </w:r>
            <w:r>
              <w:rPr>
                <w:rFonts w:hint="eastAsia" w:ascii="宋体" w:hAnsi="宋体"/>
                <w:color w:val="000000"/>
                <w:sz w:val="24"/>
                <w:szCs w:val="24"/>
              </w:rPr>
              <w:t>、</w:t>
            </w:r>
            <w:r>
              <w:rPr>
                <w:rFonts w:ascii="宋体" w:hAnsi="宋体"/>
                <w:color w:val="000000"/>
                <w:sz w:val="24"/>
                <w:szCs w:val="24"/>
              </w:rPr>
              <w:t>财政局、</w:t>
            </w:r>
          </w:p>
          <w:p>
            <w:pPr>
              <w:autoSpaceDN w:val="0"/>
              <w:jc w:val="left"/>
              <w:textAlignment w:val="center"/>
              <w:rPr>
                <w:rFonts w:ascii="宋体" w:hAnsi="宋体"/>
                <w:color w:val="000000"/>
                <w:sz w:val="24"/>
                <w:szCs w:val="24"/>
              </w:rPr>
            </w:pPr>
            <w:r>
              <w:rPr>
                <w:rFonts w:ascii="宋体" w:hAnsi="宋体"/>
                <w:color w:val="000000"/>
                <w:sz w:val="24"/>
                <w:szCs w:val="24"/>
              </w:rPr>
              <w:t>残联</w:t>
            </w:r>
          </w:p>
        </w:tc>
        <w:tc>
          <w:tcPr>
            <w:tcW w:w="165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szCs w:val="24"/>
              </w:rPr>
            </w:pPr>
            <w:r>
              <w:rPr>
                <w:rFonts w:ascii="宋体" w:hAnsi="宋体"/>
                <w:color w:val="000000"/>
                <w:sz w:val="24"/>
                <w:szCs w:val="24"/>
              </w:rPr>
              <w:t>20</w:t>
            </w:r>
            <w:r>
              <w:rPr>
                <w:rFonts w:hint="eastAsia" w:ascii="宋体" w:hAnsi="宋体"/>
                <w:color w:val="000000"/>
                <w:sz w:val="24"/>
                <w:szCs w:val="24"/>
              </w:rPr>
              <w:t>16</w:t>
            </w:r>
            <w:r>
              <w:rPr>
                <w:rFonts w:ascii="宋体" w:hAnsi="宋体"/>
                <w:color w:val="000000"/>
                <w:sz w:val="24"/>
                <w:szCs w:val="24"/>
              </w:rPr>
              <w:t>年</w:t>
            </w:r>
            <w:r>
              <w:rPr>
                <w:rFonts w:hint="eastAsia" w:ascii="宋体" w:hAnsi="宋体"/>
                <w:color w:val="000000"/>
                <w:sz w:val="24"/>
                <w:szCs w:val="24"/>
              </w:rPr>
              <w:t>年</w:t>
            </w:r>
            <w:r>
              <w:rPr>
                <w:rFonts w:ascii="宋体" w:hAnsi="宋体"/>
                <w:color w:val="000000"/>
                <w:sz w:val="24"/>
                <w:szCs w:val="24"/>
              </w:rPr>
              <w:t>底前出台具体政策措施</w:t>
            </w:r>
          </w:p>
        </w:tc>
      </w:tr>
      <w:tr>
        <w:tblPrEx>
          <w:tblLayout w:type="fixed"/>
          <w:tblCellMar>
            <w:top w:w="0" w:type="dxa"/>
            <w:left w:w="15" w:type="dxa"/>
            <w:bottom w:w="0" w:type="dxa"/>
            <w:right w:w="15" w:type="dxa"/>
          </w:tblCellMar>
        </w:tblPrEx>
        <w:trPr>
          <w:trHeight w:val="1919"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szCs w:val="24"/>
              </w:rPr>
            </w:pPr>
            <w:r>
              <w:rPr>
                <w:rFonts w:ascii="宋体" w:hAnsi="宋体"/>
                <w:color w:val="000000"/>
                <w:sz w:val="24"/>
                <w:szCs w:val="24"/>
              </w:rPr>
              <w:t>26</w:t>
            </w:r>
          </w:p>
        </w:tc>
        <w:tc>
          <w:tcPr>
            <w:tcW w:w="452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szCs w:val="24"/>
              </w:rPr>
            </w:pPr>
            <w:r>
              <w:rPr>
                <w:rFonts w:ascii="宋体" w:hAnsi="宋体"/>
                <w:color w:val="000000"/>
                <w:sz w:val="24"/>
                <w:szCs w:val="24"/>
              </w:rPr>
              <w:t>要加大彩票公益金支持残疾人事业的力度，确保用于残疾人康复、救助、无障碍改造和文化等福利项目。</w:t>
            </w:r>
            <w:r>
              <w:rPr>
                <w:rFonts w:hint="eastAsia" w:ascii="宋体" w:hAnsi="宋体"/>
                <w:color w:val="000000"/>
                <w:sz w:val="24"/>
                <w:szCs w:val="24"/>
              </w:rPr>
              <w:t>市</w:t>
            </w:r>
            <w:r>
              <w:rPr>
                <w:rFonts w:ascii="宋体" w:hAnsi="宋体"/>
                <w:color w:val="000000"/>
                <w:sz w:val="24"/>
                <w:szCs w:val="24"/>
              </w:rPr>
              <w:t>体育</w:t>
            </w:r>
            <w:r>
              <w:rPr>
                <w:rFonts w:hint="eastAsia" w:ascii="宋体" w:hAnsi="宋体"/>
                <w:color w:val="000000"/>
                <w:sz w:val="24"/>
                <w:szCs w:val="24"/>
              </w:rPr>
              <w:t>局</w:t>
            </w:r>
            <w:r>
              <w:rPr>
                <w:rFonts w:ascii="宋体" w:hAnsi="宋体"/>
                <w:color w:val="000000"/>
                <w:sz w:val="24"/>
                <w:szCs w:val="24"/>
              </w:rPr>
              <w:t>每年在体育彩票公益金中安排一定比例用于支持残疾人体育事业。</w:t>
            </w:r>
          </w:p>
        </w:tc>
        <w:tc>
          <w:tcPr>
            <w:tcW w:w="23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color w:val="000000"/>
                <w:sz w:val="24"/>
                <w:szCs w:val="24"/>
              </w:rPr>
            </w:pPr>
            <w:r>
              <w:rPr>
                <w:rFonts w:ascii="宋体" w:hAnsi="宋体"/>
                <w:color w:val="000000"/>
                <w:sz w:val="24"/>
                <w:szCs w:val="24"/>
              </w:rPr>
              <w:t>市民政局</w:t>
            </w:r>
            <w:r>
              <w:rPr>
                <w:rFonts w:hint="eastAsia" w:ascii="宋体" w:hAnsi="宋体"/>
                <w:color w:val="000000"/>
                <w:sz w:val="24"/>
                <w:szCs w:val="24"/>
              </w:rPr>
              <w:t>、</w:t>
            </w:r>
            <w:r>
              <w:rPr>
                <w:rFonts w:ascii="宋体" w:hAnsi="宋体"/>
                <w:color w:val="000000"/>
                <w:sz w:val="24"/>
                <w:szCs w:val="24"/>
              </w:rPr>
              <w:t>体育局、</w:t>
            </w:r>
          </w:p>
          <w:p>
            <w:pPr>
              <w:autoSpaceDN w:val="0"/>
              <w:jc w:val="left"/>
              <w:textAlignment w:val="center"/>
              <w:rPr>
                <w:rFonts w:ascii="宋体" w:hAnsi="宋体"/>
                <w:color w:val="000000"/>
                <w:sz w:val="24"/>
                <w:szCs w:val="24"/>
              </w:rPr>
            </w:pPr>
            <w:r>
              <w:rPr>
                <w:rFonts w:ascii="宋体" w:hAnsi="宋体"/>
                <w:color w:val="000000"/>
                <w:sz w:val="24"/>
                <w:szCs w:val="24"/>
              </w:rPr>
              <w:t>财政局</w:t>
            </w:r>
            <w:r>
              <w:rPr>
                <w:rFonts w:hint="eastAsia" w:ascii="宋体" w:hAnsi="宋体"/>
                <w:color w:val="000000"/>
                <w:sz w:val="24"/>
                <w:szCs w:val="24"/>
              </w:rPr>
              <w:t>、</w:t>
            </w:r>
            <w:r>
              <w:rPr>
                <w:rFonts w:ascii="宋体" w:hAnsi="宋体"/>
                <w:color w:val="000000"/>
                <w:sz w:val="24"/>
                <w:szCs w:val="24"/>
              </w:rPr>
              <w:t>残联</w:t>
            </w:r>
          </w:p>
        </w:tc>
        <w:tc>
          <w:tcPr>
            <w:tcW w:w="16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szCs w:val="24"/>
              </w:rPr>
            </w:pPr>
            <w:r>
              <w:rPr>
                <w:rFonts w:ascii="宋体" w:hAnsi="宋体"/>
                <w:color w:val="000000"/>
                <w:sz w:val="24"/>
                <w:szCs w:val="24"/>
              </w:rPr>
              <w:t>持续实施</w:t>
            </w:r>
          </w:p>
        </w:tc>
      </w:tr>
      <w:tr>
        <w:tblPrEx>
          <w:tblLayout w:type="fixed"/>
          <w:tblCellMar>
            <w:top w:w="0" w:type="dxa"/>
            <w:left w:w="15" w:type="dxa"/>
            <w:bottom w:w="0" w:type="dxa"/>
            <w:right w:w="15" w:type="dxa"/>
          </w:tblCellMar>
        </w:tblPrEx>
        <w:trPr>
          <w:trHeight w:val="2595"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szCs w:val="24"/>
              </w:rPr>
            </w:pPr>
            <w:r>
              <w:rPr>
                <w:rFonts w:ascii="宋体" w:hAnsi="宋体"/>
                <w:color w:val="000000"/>
                <w:sz w:val="24"/>
                <w:szCs w:val="24"/>
              </w:rPr>
              <w:t>27</w:t>
            </w:r>
          </w:p>
        </w:tc>
        <w:tc>
          <w:tcPr>
            <w:tcW w:w="452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szCs w:val="24"/>
              </w:rPr>
            </w:pPr>
            <w:r>
              <w:rPr>
                <w:rFonts w:ascii="宋体" w:hAnsi="宋体"/>
                <w:color w:val="000000"/>
                <w:sz w:val="24"/>
                <w:szCs w:val="24"/>
              </w:rPr>
              <w:t>将镇、村两级残疾人专职委员纳入公益性岗位范畴，村、社区残疾人专职委员应与村、社区居委会工作者同等待遇。根据当地实际，按照费随事转的原则，妥善解决好残疾人专职委员的待遇问题，将镇、村两级专职委员的工作补贴或误工补贴经费、教育培训经费按规定纳入当地财政预算。</w:t>
            </w:r>
          </w:p>
        </w:tc>
        <w:tc>
          <w:tcPr>
            <w:tcW w:w="23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szCs w:val="24"/>
              </w:rPr>
            </w:pPr>
            <w:r>
              <w:rPr>
                <w:rFonts w:ascii="宋体" w:hAnsi="宋体"/>
                <w:color w:val="000000"/>
                <w:sz w:val="24"/>
                <w:szCs w:val="24"/>
              </w:rPr>
              <w:t>市人力资源和社会保障局</w:t>
            </w:r>
            <w:r>
              <w:rPr>
                <w:rFonts w:hint="eastAsia" w:ascii="宋体" w:hAnsi="宋体"/>
                <w:color w:val="000000"/>
                <w:sz w:val="24"/>
                <w:szCs w:val="24"/>
              </w:rPr>
              <w:t>、</w:t>
            </w:r>
            <w:r>
              <w:rPr>
                <w:rFonts w:ascii="宋体" w:hAnsi="宋体"/>
                <w:color w:val="000000"/>
                <w:sz w:val="24"/>
                <w:szCs w:val="24"/>
              </w:rPr>
              <w:t>财政局、民政局、残联</w:t>
            </w:r>
          </w:p>
        </w:tc>
        <w:tc>
          <w:tcPr>
            <w:tcW w:w="16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szCs w:val="24"/>
              </w:rPr>
            </w:pPr>
            <w:r>
              <w:rPr>
                <w:rFonts w:ascii="宋体" w:hAnsi="宋体"/>
                <w:color w:val="000000"/>
                <w:sz w:val="24"/>
                <w:szCs w:val="24"/>
              </w:rPr>
              <w:t>加强落实</w:t>
            </w:r>
          </w:p>
        </w:tc>
      </w:tr>
      <w:tr>
        <w:tblPrEx>
          <w:tblLayout w:type="fixed"/>
          <w:tblCellMar>
            <w:top w:w="0" w:type="dxa"/>
            <w:left w:w="15" w:type="dxa"/>
            <w:bottom w:w="0" w:type="dxa"/>
            <w:right w:w="15" w:type="dxa"/>
          </w:tblCellMar>
        </w:tblPrEx>
        <w:trPr>
          <w:trHeight w:val="902"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olor w:val="000000"/>
                <w:sz w:val="24"/>
                <w:szCs w:val="24"/>
              </w:rPr>
            </w:pPr>
            <w:r>
              <w:rPr>
                <w:rFonts w:ascii="宋体" w:hAnsi="宋体"/>
                <w:color w:val="000000"/>
                <w:sz w:val="24"/>
                <w:szCs w:val="24"/>
              </w:rPr>
              <w:t>28</w:t>
            </w:r>
          </w:p>
        </w:tc>
        <w:tc>
          <w:tcPr>
            <w:tcW w:w="452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szCs w:val="24"/>
              </w:rPr>
            </w:pPr>
            <w:r>
              <w:rPr>
                <w:rFonts w:ascii="宋体" w:hAnsi="宋体"/>
                <w:color w:val="000000"/>
                <w:sz w:val="24"/>
                <w:szCs w:val="24"/>
              </w:rPr>
              <w:t>充分利用12385残疾人维权服务热线，切实维护残疾人合法利益。</w:t>
            </w:r>
          </w:p>
        </w:tc>
        <w:tc>
          <w:tcPr>
            <w:tcW w:w="23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szCs w:val="24"/>
              </w:rPr>
            </w:pPr>
            <w:r>
              <w:rPr>
                <w:rFonts w:ascii="宋体" w:hAnsi="宋体"/>
                <w:color w:val="000000"/>
                <w:sz w:val="24"/>
                <w:szCs w:val="24"/>
              </w:rPr>
              <w:t>市残联</w:t>
            </w:r>
          </w:p>
        </w:tc>
        <w:tc>
          <w:tcPr>
            <w:tcW w:w="16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szCs w:val="24"/>
              </w:rPr>
            </w:pPr>
            <w:r>
              <w:rPr>
                <w:rFonts w:ascii="宋体" w:hAnsi="宋体"/>
                <w:color w:val="000000"/>
                <w:sz w:val="24"/>
                <w:szCs w:val="24"/>
              </w:rPr>
              <w:t>持续实施</w:t>
            </w:r>
          </w:p>
        </w:tc>
      </w:tr>
      <w:tr>
        <w:tblPrEx>
          <w:tblLayout w:type="fixed"/>
          <w:tblCellMar>
            <w:top w:w="0" w:type="dxa"/>
            <w:left w:w="15" w:type="dxa"/>
            <w:bottom w:w="0" w:type="dxa"/>
            <w:right w:w="15" w:type="dxa"/>
          </w:tblCellMar>
        </w:tblPrEx>
        <w:trPr>
          <w:trHeight w:val="1294"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szCs w:val="24"/>
              </w:rPr>
            </w:pPr>
            <w:r>
              <w:rPr>
                <w:rFonts w:ascii="宋体" w:hAnsi="宋体"/>
                <w:color w:val="000000"/>
                <w:sz w:val="24"/>
                <w:szCs w:val="24"/>
              </w:rPr>
              <w:t>29</w:t>
            </w:r>
          </w:p>
        </w:tc>
        <w:tc>
          <w:tcPr>
            <w:tcW w:w="452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szCs w:val="24"/>
              </w:rPr>
            </w:pPr>
            <w:r>
              <w:rPr>
                <w:rFonts w:ascii="宋体" w:hAnsi="宋体"/>
                <w:color w:val="000000"/>
                <w:sz w:val="24"/>
                <w:szCs w:val="24"/>
              </w:rPr>
              <w:t>大力弘扬人道主义思想和残疾人“平等、参与、共享”的现代文明理念，在全社会营造尊重、理解、关心、帮助残疾人的良好氛围。</w:t>
            </w:r>
          </w:p>
        </w:tc>
        <w:tc>
          <w:tcPr>
            <w:tcW w:w="23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szCs w:val="24"/>
              </w:rPr>
            </w:pPr>
            <w:r>
              <w:rPr>
                <w:rFonts w:ascii="宋体" w:hAnsi="宋体"/>
                <w:color w:val="000000"/>
                <w:sz w:val="24"/>
                <w:szCs w:val="24"/>
              </w:rPr>
              <w:t>市委宣传部</w:t>
            </w:r>
            <w:r>
              <w:rPr>
                <w:rFonts w:hint="eastAsia" w:ascii="宋体" w:hAnsi="宋体"/>
                <w:color w:val="000000"/>
                <w:sz w:val="24"/>
                <w:szCs w:val="24"/>
              </w:rPr>
              <w:t>、</w:t>
            </w:r>
            <w:r>
              <w:rPr>
                <w:rFonts w:ascii="宋体" w:hAnsi="宋体"/>
                <w:color w:val="000000"/>
                <w:sz w:val="24"/>
                <w:szCs w:val="24"/>
              </w:rPr>
              <w:t>文化广电新闻出版局、电视台、残联</w:t>
            </w:r>
          </w:p>
        </w:tc>
        <w:tc>
          <w:tcPr>
            <w:tcW w:w="16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szCs w:val="24"/>
              </w:rPr>
            </w:pPr>
            <w:r>
              <w:rPr>
                <w:rFonts w:ascii="宋体" w:hAnsi="宋体"/>
                <w:color w:val="000000"/>
                <w:sz w:val="24"/>
                <w:szCs w:val="24"/>
              </w:rPr>
              <w:t>持续实施</w:t>
            </w:r>
          </w:p>
        </w:tc>
      </w:tr>
      <w:tr>
        <w:tblPrEx>
          <w:tblLayout w:type="fixed"/>
          <w:tblCellMar>
            <w:top w:w="0" w:type="dxa"/>
            <w:left w:w="15" w:type="dxa"/>
            <w:bottom w:w="0" w:type="dxa"/>
            <w:right w:w="15" w:type="dxa"/>
          </w:tblCellMar>
        </w:tblPrEx>
        <w:trPr>
          <w:trHeight w:val="986"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szCs w:val="24"/>
              </w:rPr>
            </w:pPr>
            <w:r>
              <w:rPr>
                <w:rFonts w:hint="eastAsia" w:ascii="宋体" w:hAnsi="宋体"/>
                <w:color w:val="000000"/>
                <w:sz w:val="24"/>
                <w:szCs w:val="24"/>
              </w:rPr>
              <w:t>30</w:t>
            </w:r>
          </w:p>
        </w:tc>
        <w:tc>
          <w:tcPr>
            <w:tcW w:w="452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szCs w:val="24"/>
                <w:u w:val="single"/>
              </w:rPr>
            </w:pPr>
            <w:r>
              <w:rPr>
                <w:rFonts w:hint="eastAsia" w:ascii="宋体" w:hAnsi="宋体"/>
                <w:color w:val="000000"/>
                <w:sz w:val="24"/>
                <w:szCs w:val="24"/>
              </w:rPr>
              <w:t>建立</w:t>
            </w:r>
            <w:r>
              <w:rPr>
                <w:rFonts w:ascii="宋体" w:hAnsi="宋体"/>
                <w:color w:val="000000"/>
                <w:sz w:val="24"/>
                <w:szCs w:val="24"/>
              </w:rPr>
              <w:t>贫困家庭</w:t>
            </w:r>
            <w:r>
              <w:rPr>
                <w:rFonts w:hint="eastAsia" w:ascii="宋体" w:hAnsi="宋体"/>
                <w:color w:val="000000"/>
                <w:sz w:val="24"/>
                <w:szCs w:val="24"/>
              </w:rPr>
              <w:t>在校</w:t>
            </w:r>
            <w:r>
              <w:rPr>
                <w:rFonts w:ascii="宋体" w:hAnsi="宋体"/>
                <w:color w:val="000000"/>
                <w:sz w:val="24"/>
                <w:szCs w:val="24"/>
              </w:rPr>
              <w:t>残疾学生和</w:t>
            </w:r>
            <w:r>
              <w:rPr>
                <w:rFonts w:hint="eastAsia" w:ascii="宋体" w:hAnsi="宋体"/>
                <w:color w:val="000000"/>
                <w:sz w:val="24"/>
                <w:szCs w:val="24"/>
              </w:rPr>
              <w:t>贫困</w:t>
            </w:r>
            <w:r>
              <w:rPr>
                <w:rFonts w:ascii="宋体" w:hAnsi="宋体"/>
                <w:color w:val="000000"/>
                <w:sz w:val="24"/>
                <w:szCs w:val="24"/>
              </w:rPr>
              <w:t>重度残疾人子女就学补助制度。</w:t>
            </w:r>
          </w:p>
        </w:tc>
        <w:tc>
          <w:tcPr>
            <w:tcW w:w="23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color w:val="000000"/>
                <w:sz w:val="24"/>
                <w:szCs w:val="24"/>
              </w:rPr>
            </w:pPr>
            <w:r>
              <w:rPr>
                <w:rFonts w:hint="eastAsia" w:ascii="宋体" w:hAnsi="宋体"/>
                <w:color w:val="000000"/>
                <w:sz w:val="24"/>
                <w:szCs w:val="24"/>
              </w:rPr>
              <w:t>市民政局、财政局、</w:t>
            </w:r>
          </w:p>
          <w:p>
            <w:pPr>
              <w:autoSpaceDN w:val="0"/>
              <w:jc w:val="left"/>
              <w:textAlignment w:val="center"/>
              <w:rPr>
                <w:rFonts w:ascii="宋体" w:hAnsi="宋体"/>
                <w:color w:val="000000"/>
                <w:sz w:val="24"/>
                <w:szCs w:val="24"/>
                <w:u w:val="single"/>
              </w:rPr>
            </w:pPr>
            <w:r>
              <w:rPr>
                <w:rFonts w:hint="eastAsia" w:ascii="宋体" w:hAnsi="宋体"/>
                <w:color w:val="000000"/>
                <w:sz w:val="24"/>
                <w:szCs w:val="24"/>
              </w:rPr>
              <w:t>教育局、残联</w:t>
            </w:r>
          </w:p>
        </w:tc>
        <w:tc>
          <w:tcPr>
            <w:tcW w:w="165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szCs w:val="24"/>
              </w:rPr>
            </w:pPr>
            <w:r>
              <w:rPr>
                <w:rFonts w:ascii="宋体" w:hAnsi="宋体"/>
                <w:color w:val="000000"/>
                <w:sz w:val="24"/>
                <w:szCs w:val="24"/>
              </w:rPr>
              <w:t>20</w:t>
            </w:r>
            <w:r>
              <w:rPr>
                <w:rFonts w:hint="eastAsia" w:ascii="宋体" w:hAnsi="宋体"/>
                <w:color w:val="000000"/>
                <w:sz w:val="24"/>
                <w:szCs w:val="24"/>
              </w:rPr>
              <w:t>16</w:t>
            </w:r>
            <w:r>
              <w:rPr>
                <w:rFonts w:ascii="宋体" w:hAnsi="宋体"/>
                <w:color w:val="000000"/>
                <w:sz w:val="24"/>
                <w:szCs w:val="24"/>
              </w:rPr>
              <w:t>年</w:t>
            </w:r>
            <w:r>
              <w:rPr>
                <w:rFonts w:hint="eastAsia" w:ascii="宋体" w:hAnsi="宋体"/>
                <w:color w:val="000000"/>
                <w:sz w:val="24"/>
                <w:szCs w:val="24"/>
              </w:rPr>
              <w:t>年</w:t>
            </w:r>
            <w:r>
              <w:rPr>
                <w:rFonts w:ascii="宋体" w:hAnsi="宋体"/>
                <w:color w:val="000000"/>
                <w:sz w:val="24"/>
                <w:szCs w:val="24"/>
              </w:rPr>
              <w:t>底前出台具体政策措施</w:t>
            </w:r>
          </w:p>
        </w:tc>
      </w:tr>
      <w:tr>
        <w:tblPrEx>
          <w:tblLayout w:type="fixed"/>
          <w:tblCellMar>
            <w:top w:w="0" w:type="dxa"/>
            <w:left w:w="15" w:type="dxa"/>
            <w:bottom w:w="0" w:type="dxa"/>
            <w:right w:w="15" w:type="dxa"/>
          </w:tblCellMar>
        </w:tblPrEx>
        <w:trPr>
          <w:trHeight w:val="986"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olor w:val="000000"/>
                <w:sz w:val="24"/>
                <w:szCs w:val="24"/>
              </w:rPr>
            </w:pPr>
            <w:r>
              <w:rPr>
                <w:rFonts w:hint="eastAsia" w:ascii="宋体" w:hAnsi="宋体"/>
                <w:color w:val="000000"/>
                <w:sz w:val="24"/>
                <w:szCs w:val="24"/>
              </w:rPr>
              <w:t>31</w:t>
            </w:r>
          </w:p>
        </w:tc>
        <w:tc>
          <w:tcPr>
            <w:tcW w:w="452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color w:val="000000"/>
                <w:sz w:val="24"/>
                <w:szCs w:val="24"/>
                <w:u w:val="dash"/>
              </w:rPr>
            </w:pPr>
            <w:r>
              <w:rPr>
                <w:rFonts w:hint="eastAsia" w:ascii="宋体" w:hAnsi="宋体"/>
                <w:color w:val="000000"/>
                <w:sz w:val="24"/>
                <w:szCs w:val="24"/>
              </w:rPr>
              <w:t>鼓励兴办福利企业、盲人按摩机构、工疗机构等集中安置残疾人的用人单位，依法给予税收优惠，出台社会保险补贴、岗位补贴、试用见习补贴政策。</w:t>
            </w:r>
          </w:p>
        </w:tc>
        <w:tc>
          <w:tcPr>
            <w:tcW w:w="23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color w:val="000000"/>
                <w:sz w:val="24"/>
                <w:szCs w:val="24"/>
              </w:rPr>
            </w:pPr>
            <w:r>
              <w:rPr>
                <w:rFonts w:hint="eastAsia" w:ascii="宋体" w:hAnsi="宋体"/>
                <w:color w:val="000000"/>
                <w:sz w:val="24"/>
                <w:szCs w:val="24"/>
              </w:rPr>
              <w:t>市民政局、财政局、</w:t>
            </w:r>
          </w:p>
          <w:p>
            <w:pPr>
              <w:autoSpaceDN w:val="0"/>
              <w:jc w:val="left"/>
              <w:textAlignment w:val="center"/>
              <w:rPr>
                <w:rFonts w:hint="eastAsia" w:ascii="宋体" w:hAnsi="宋体"/>
                <w:color w:val="000000"/>
                <w:sz w:val="24"/>
                <w:szCs w:val="24"/>
              </w:rPr>
            </w:pPr>
            <w:r>
              <w:rPr>
                <w:rFonts w:hint="eastAsia" w:ascii="宋体" w:hAnsi="宋体"/>
                <w:color w:val="000000"/>
                <w:sz w:val="24"/>
                <w:szCs w:val="24"/>
              </w:rPr>
              <w:t>国家税务局、地方税务局、残联</w:t>
            </w:r>
          </w:p>
        </w:tc>
        <w:tc>
          <w:tcPr>
            <w:tcW w:w="16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szCs w:val="24"/>
              </w:rPr>
            </w:pPr>
            <w:r>
              <w:rPr>
                <w:rFonts w:ascii="宋体" w:hAnsi="宋体"/>
                <w:color w:val="000000"/>
                <w:sz w:val="24"/>
                <w:szCs w:val="24"/>
              </w:rPr>
              <w:t>持续实施</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B82523"/>
    <w:rsid w:val="1CB8252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2016-09-18T08:22:00Z</dcterms:created>
  <dc:creator>Administrator</dc:creator>
  <cp:lastModifiedBy>Administrator</cp:lastModifiedBy>
  <dcterms:modified xsi:type="dcterms:W3CDTF">2016-09-18T08:22:51Z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