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lang w:val="en-US" w:eastAsia="zh-CN"/>
        </w:rPr>
      </w:pPr>
    </w:p>
    <w:p>
      <w:pPr>
        <w:pStyle w:val="4"/>
        <w:rPr>
          <w:rFonts w:hint="eastAsia" w:ascii="宋体" w:hAnsi="宋体" w:eastAsia="方正小标宋简体" w:cs="方正小标宋简体"/>
          <w:color w:val="auto"/>
          <w:highlight w:val="none"/>
          <w:lang w:val="en-US" w:eastAsia="zh-CN"/>
        </w:rPr>
      </w:pPr>
    </w:p>
    <w:p>
      <w:pPr>
        <w:rPr>
          <w:rFonts w:hint="eastAsia" w:ascii="宋体" w:hAnsi="宋体" w:eastAsia="方正小标宋简体" w:cs="方正小标宋简体"/>
          <w:color w:val="auto"/>
          <w:highlight w:val="none"/>
          <w:lang w:val="en-US" w:eastAsia="zh-CN"/>
        </w:rPr>
      </w:pPr>
    </w:p>
    <w:p>
      <w:pPr>
        <w:rPr>
          <w:rFonts w:hint="eastAsia" w:ascii="宋体" w:hAnsi="宋体" w:eastAsia="方正小标宋简体" w:cs="方正小标宋简体"/>
          <w:color w:val="auto"/>
          <w:highlight w:val="none"/>
          <w:lang w:val="en-US" w:eastAsia="zh-CN"/>
        </w:rPr>
      </w:pPr>
    </w:p>
    <w:p>
      <w:pPr>
        <w:pStyle w:val="2"/>
        <w:rPr>
          <w:rFonts w:hint="eastAsia" w:ascii="宋体" w:hAnsi="宋体" w:eastAsia="方正小标宋简体" w:cs="方正小标宋简体"/>
          <w:color w:val="auto"/>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auto"/>
          <w:sz w:val="60"/>
          <w:szCs w:val="6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auto"/>
          <w:sz w:val="60"/>
          <w:szCs w:val="6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auto"/>
          <w:sz w:val="60"/>
          <w:szCs w:val="60"/>
          <w:highlight w:val="none"/>
          <w:lang w:val="en-US" w:eastAsia="zh-CN"/>
        </w:rPr>
      </w:pPr>
      <w:r>
        <w:rPr>
          <w:rFonts w:hint="eastAsia" w:ascii="方正小标宋简体" w:hAnsi="方正小标宋简体" w:eastAsia="方正小标宋简体" w:cs="方正小标宋简体"/>
          <w:color w:val="auto"/>
          <w:sz w:val="60"/>
          <w:szCs w:val="60"/>
          <w:highlight w:val="none"/>
          <w:lang w:val="en-US" w:eastAsia="zh-CN"/>
        </w:rPr>
        <w:t>济源市2022年财政收支预算</w:t>
      </w:r>
    </w:p>
    <w:p>
      <w:pPr>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jc w:val="center"/>
        <w:rPr>
          <w:rFonts w:hint="eastAsia" w:ascii="宋体" w:hAnsi="宋体" w:eastAsia="方正小标宋简体" w:cs="方正小标宋简体"/>
          <w:color w:val="auto"/>
          <w:sz w:val="36"/>
          <w:szCs w:val="36"/>
          <w:highlight w:val="none"/>
          <w:lang w:val="en-US" w:eastAsia="zh-CN"/>
        </w:rPr>
      </w:pPr>
    </w:p>
    <w:p>
      <w:pPr>
        <w:jc w:val="center"/>
        <w:rPr>
          <w:rFonts w:hint="eastAsia" w:ascii="宋体" w:hAnsi="宋体" w:eastAsia="方正小标宋简体" w:cs="方正小标宋简体"/>
          <w:color w:val="auto"/>
          <w:sz w:val="36"/>
          <w:szCs w:val="36"/>
          <w:highlight w:val="none"/>
          <w:lang w:val="en-US" w:eastAsia="zh-CN"/>
        </w:rPr>
      </w:pPr>
    </w:p>
    <w:p>
      <w:pPr>
        <w:jc w:val="center"/>
        <w:rPr>
          <w:rFonts w:hint="eastAsia" w:ascii="宋体" w:hAnsi="宋体" w:eastAsia="方正小标宋简体" w:cs="方正小标宋简体"/>
          <w:color w:val="auto"/>
          <w:sz w:val="36"/>
          <w:szCs w:val="36"/>
          <w:highlight w:val="none"/>
          <w:lang w:val="en-US" w:eastAsia="zh-CN"/>
        </w:rPr>
      </w:pPr>
    </w:p>
    <w:p>
      <w:pPr>
        <w:jc w:val="center"/>
        <w:rPr>
          <w:rFonts w:hint="eastAsia" w:ascii="宋体" w:hAnsi="宋体" w:eastAsia="方正小标宋简体" w:cs="方正小标宋简体"/>
          <w:color w:val="auto"/>
          <w:sz w:val="36"/>
          <w:szCs w:val="36"/>
          <w:highlight w:val="none"/>
          <w:lang w:val="en-US" w:eastAsia="zh-CN"/>
        </w:rPr>
      </w:pPr>
    </w:p>
    <w:p>
      <w:pPr>
        <w:pStyle w:val="2"/>
        <w:ind w:left="0" w:leftChars="0" w:firstLine="0" w:firstLineChars="0"/>
        <w:rPr>
          <w:rFonts w:hint="eastAsia" w:ascii="宋体" w:hAnsi="宋体" w:eastAsia="方正小标宋简体" w:cs="方正小标宋简体"/>
          <w:color w:val="auto"/>
          <w:sz w:val="36"/>
          <w:szCs w:val="36"/>
          <w:highlight w:val="none"/>
          <w:lang w:val="en-US" w:eastAsia="zh-CN"/>
        </w:rPr>
      </w:pPr>
    </w:p>
    <w:p>
      <w:pPr>
        <w:rPr>
          <w:rFonts w:hint="eastAsia" w:ascii="宋体" w:hAnsi="宋体" w:eastAsia="方正小标宋简体" w:cs="方正小标宋简体"/>
          <w:color w:val="auto"/>
          <w:sz w:val="36"/>
          <w:szCs w:val="36"/>
          <w:highlight w:val="none"/>
          <w:lang w:val="en-US" w:eastAsia="zh-CN"/>
        </w:rPr>
      </w:pPr>
    </w:p>
    <w:p>
      <w:pPr>
        <w:pStyle w:val="2"/>
        <w:rPr>
          <w:rFonts w:hint="eastAsia"/>
          <w:lang w:val="en-US"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年市级一般公共预算收支总表</w:t>
      </w:r>
    </w:p>
    <w:p>
      <w:pPr>
        <w:widowControl w:val="0"/>
        <w:wordWrap/>
        <w:spacing w:line="600" w:lineRule="exact"/>
        <w:ind w:left="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单位：万元</w:t>
      </w:r>
    </w:p>
    <w:tbl>
      <w:tblPr>
        <w:tblStyle w:val="12"/>
        <w:tblW w:w="90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72"/>
        <w:gridCol w:w="1610"/>
        <w:gridCol w:w="286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市本级收入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349585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市本级支出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581105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上级补助收入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277822</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其中：市本级财力支出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568690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返还性收入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8267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一般债</w:t>
            </w:r>
            <w:r>
              <w:rPr>
                <w:rFonts w:hint="eastAsia" w:ascii="宋体" w:hAnsi="宋体" w:cs="宋体"/>
                <w:i w:val="0"/>
                <w:color w:val="000000"/>
                <w:kern w:val="0"/>
                <w:sz w:val="24"/>
                <w:szCs w:val="24"/>
                <w:u w:val="none"/>
                <w:lang w:val="en-US" w:eastAsia="zh-CN" w:bidi="ar"/>
              </w:rPr>
              <w:t>券</w:t>
            </w:r>
            <w:r>
              <w:rPr>
                <w:rFonts w:hint="eastAsia" w:ascii="宋体" w:hAnsi="宋体" w:eastAsia="宋体" w:cs="宋体"/>
                <w:i w:val="0"/>
                <w:color w:val="000000"/>
                <w:kern w:val="0"/>
                <w:sz w:val="24"/>
                <w:szCs w:val="24"/>
                <w:u w:val="none"/>
                <w:lang w:val="en-US" w:eastAsia="zh-CN" w:bidi="ar"/>
              </w:rPr>
              <w:t>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一般性转移支付收入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259900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提前通知专项转移支付安排支出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9655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补助镇级支出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33049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镇级上解收入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141131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返还性支出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上年结转结余收入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29351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一般性转移支付支出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动用预算稳定调节基金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6619</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专项转移支付</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一般债务转贷收入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12415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上解上级支出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235829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调入资金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42935</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债务还本支出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收入总计</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859858</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支出总计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859858</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年市级一般公共预算收入表</w:t>
      </w:r>
    </w:p>
    <w:p>
      <w:pPr>
        <w:widowControl w:val="0"/>
        <w:wordWrap/>
        <w:spacing w:line="60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7"/>
        <w:gridCol w:w="1515"/>
        <w:gridCol w:w="1629"/>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2021年执行数</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2022年预算数</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一、市本级收入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328009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349585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（一）税收收入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197277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212575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增值税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104197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109940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企业所得税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45336</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46696</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个人所得税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2922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4629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资源税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4590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7544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城市维护建设税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14560</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14905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耕地占用税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7777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8700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契税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14899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16361</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环保税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2911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3800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其他税收收入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cs="宋体"/>
                <w:i w:val="0"/>
                <w:color w:val="000000"/>
                <w:kern w:val="0"/>
                <w:sz w:val="24"/>
                <w:szCs w:val="24"/>
                <w:u w:val="none"/>
                <w:lang w:val="en-US" w:eastAsia="zh-CN" w:bidi="ar"/>
              </w:rPr>
              <w:t>85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（二）非税收入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130732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137010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专项收入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28978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31690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行政事业性收费收入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12252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12738</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罚没收入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19949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22929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国有资本经营收入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14905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17000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国有资源（资产）有偿使用</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46847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42863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捐赠收入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kern w:val="0"/>
                <w:sz w:val="22"/>
                <w:szCs w:val="22"/>
                <w:u w:val="none"/>
                <w:lang w:val="en-US" w:eastAsia="zh-CN" w:bidi="ar"/>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政府住房基金收入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6227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7200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1549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167.2 </w:t>
            </w:r>
          </w:p>
        </w:tc>
      </w:tr>
    </w:tbl>
    <w:p>
      <w:pPr>
        <w:keepNext w:val="0"/>
        <w:keepLines w:val="0"/>
        <w:pageBreakBefore w:val="0"/>
        <w:widowControl w:val="0"/>
        <w:kinsoku/>
        <w:wordWrap/>
        <w:overflowPunct w:val="0"/>
        <w:topLinePunct w:val="0"/>
        <w:autoSpaceDE w:val="0"/>
        <w:autoSpaceDN w:val="0"/>
        <w:bidi w:val="0"/>
        <w:adjustRightInd w:val="0"/>
        <w:snapToGrid w:val="0"/>
        <w:spacing w:line="640" w:lineRule="atLeast"/>
        <w:jc w:val="both"/>
        <w:textAlignment w:val="auto"/>
        <w:outlineLvl w:val="9"/>
        <w:rPr>
          <w:rFonts w:hint="eastAsia" w:ascii="Times New Roman" w:hAnsi="Times New Roman" w:eastAsia="黑体" w:cs="黑体"/>
          <w:color w:val="auto"/>
          <w:spacing w:val="23"/>
          <w:sz w:val="28"/>
          <w:szCs w:val="28"/>
          <w:highlight w:val="none"/>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年市级一般公共预算收入表</w:t>
      </w:r>
    </w:p>
    <w:p>
      <w:pPr>
        <w:widowControl w:val="0"/>
        <w:wordWrap/>
        <w:spacing w:line="60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7"/>
        <w:gridCol w:w="1515"/>
        <w:gridCol w:w="160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blHeader/>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2021年执行数</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2022年预算数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二、上级补助收入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270414</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277822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返还性收入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8267</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8267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一般性转移支付收入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204636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259900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专项转移支付收入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57511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9655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三、镇级上解收入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124546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141131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体制上解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62988</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62988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增量上解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54300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56974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其他应由乡镇承担的专项上解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7258</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21169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四、上年结转结余收入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3413</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4"/>
                <w:szCs w:val="24"/>
                <w:u w:val="none"/>
                <w:lang w:val="en-US" w:eastAsia="zh-CN" w:bidi="ar"/>
              </w:rPr>
              <w:t>29351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五、动用预算稳定调节基金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9715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6619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六、一般债务转贷收入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89000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12415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七、调入资金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9190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42935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834287</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000000"/>
                <w:kern w:val="0"/>
                <w:sz w:val="24"/>
                <w:szCs w:val="24"/>
                <w:u w:val="none"/>
                <w:lang w:val="en-US" w:eastAsia="zh-CN" w:bidi="ar"/>
              </w:rPr>
              <w:t>859858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103.1 </w:t>
            </w:r>
          </w:p>
        </w:tc>
      </w:tr>
    </w:tbl>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宋体" w:hAnsi="宋体" w:eastAsia="方正小标宋简体" w:cs="方正小标宋简体"/>
          <w:color w:val="auto"/>
          <w:kern w:val="0"/>
          <w:sz w:val="44"/>
          <w:szCs w:val="44"/>
          <w:highlight w:val="none"/>
        </w:rPr>
        <w:br w:type="page"/>
      </w:r>
      <w:r>
        <w:rPr>
          <w:rFonts w:hint="eastAsia" w:ascii="方正小标宋简体" w:hAnsi="方正小标宋简体" w:eastAsia="方正小标宋简体" w:cs="方正小标宋简体"/>
          <w:b w:val="0"/>
          <w:bCs/>
          <w:color w:val="auto"/>
          <w:kern w:val="0"/>
          <w:sz w:val="44"/>
          <w:szCs w:val="44"/>
          <w:highlight w:val="none"/>
        </w:rPr>
        <w:t>关于20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年市</w:t>
      </w:r>
      <w:r>
        <w:rPr>
          <w:rFonts w:hint="eastAsia" w:ascii="方正小标宋简体" w:hAnsi="方正小标宋简体" w:eastAsia="方正小标宋简体" w:cs="方正小标宋简体"/>
          <w:b w:val="0"/>
          <w:bCs/>
          <w:color w:val="auto"/>
          <w:kern w:val="0"/>
          <w:sz w:val="44"/>
          <w:szCs w:val="44"/>
          <w:highlight w:val="none"/>
          <w:lang w:val="en-US" w:eastAsia="zh-CN"/>
        </w:rPr>
        <w:t>级一般公共预算收入</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情况的说明</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20</w:t>
      </w:r>
      <w:r>
        <w:rPr>
          <w:rFonts w:hint="eastAsia" w:ascii="Times New Roman" w:hAnsi="Times New Roman" w:eastAsia="仿宋_GB2312" w:cs="仿宋_GB2312"/>
          <w:color w:val="auto"/>
          <w:kern w:val="0"/>
          <w:sz w:val="32"/>
          <w:szCs w:val="32"/>
          <w:highlight w:val="none"/>
          <w:lang w:val="en-US" w:eastAsia="zh-CN"/>
        </w:rPr>
        <w:t>22</w:t>
      </w:r>
      <w:r>
        <w:rPr>
          <w:rFonts w:hint="eastAsia" w:ascii="Times New Roman" w:hAnsi="Times New Roman" w:eastAsia="仿宋_GB2312" w:cs="仿宋_GB2312"/>
          <w:color w:val="auto"/>
          <w:kern w:val="0"/>
          <w:sz w:val="32"/>
          <w:szCs w:val="32"/>
          <w:highlight w:val="none"/>
        </w:rPr>
        <w:t>年市级一般公共预算收入总计</w:t>
      </w:r>
      <w:r>
        <w:rPr>
          <w:rFonts w:hint="eastAsia" w:ascii="Times New Roman" w:hAnsi="Times New Roman" w:eastAsia="仿宋_GB2312" w:cs="仿宋_GB2312"/>
          <w:color w:val="auto"/>
          <w:kern w:val="0"/>
          <w:sz w:val="32"/>
          <w:szCs w:val="32"/>
          <w:highlight w:val="none"/>
          <w:lang w:val="en-US" w:eastAsia="zh-CN"/>
        </w:rPr>
        <w:t>859858</w:t>
      </w:r>
      <w:r>
        <w:rPr>
          <w:rFonts w:hint="eastAsia" w:ascii="Times New Roman" w:hAnsi="Times New Roman" w:eastAsia="仿宋_GB2312" w:cs="仿宋_GB2312"/>
          <w:color w:val="auto"/>
          <w:kern w:val="0"/>
          <w:sz w:val="32"/>
          <w:szCs w:val="32"/>
          <w:highlight w:val="none"/>
        </w:rPr>
        <w:t>万元，其中：市级收入</w:t>
      </w:r>
      <w:r>
        <w:rPr>
          <w:rFonts w:hint="eastAsia" w:ascii="Times New Roman" w:hAnsi="Times New Roman" w:eastAsia="仿宋_GB2312" w:cs="仿宋_GB2312"/>
          <w:color w:val="auto"/>
          <w:kern w:val="0"/>
          <w:sz w:val="32"/>
          <w:szCs w:val="32"/>
          <w:highlight w:val="none"/>
          <w:lang w:val="en-US" w:eastAsia="zh-CN"/>
        </w:rPr>
        <w:t>349585</w:t>
      </w:r>
      <w:r>
        <w:rPr>
          <w:rFonts w:hint="eastAsia" w:ascii="Times New Roman" w:hAnsi="Times New Roman" w:eastAsia="仿宋_GB2312" w:cs="仿宋_GB2312"/>
          <w:color w:val="auto"/>
          <w:kern w:val="0"/>
          <w:sz w:val="32"/>
          <w:szCs w:val="32"/>
          <w:highlight w:val="none"/>
        </w:rPr>
        <w:t>万元，上级补助收入</w:t>
      </w:r>
      <w:r>
        <w:rPr>
          <w:rFonts w:hint="eastAsia" w:ascii="Times New Roman" w:hAnsi="Times New Roman" w:eastAsia="仿宋_GB2312" w:cs="仿宋_GB2312"/>
          <w:color w:val="auto"/>
          <w:kern w:val="0"/>
          <w:sz w:val="32"/>
          <w:szCs w:val="32"/>
          <w:highlight w:val="none"/>
          <w:lang w:val="en-US" w:eastAsia="zh-CN"/>
        </w:rPr>
        <w:t>277822</w:t>
      </w:r>
      <w:r>
        <w:rPr>
          <w:rFonts w:hint="eastAsia" w:ascii="Times New Roman" w:hAnsi="Times New Roman" w:eastAsia="仿宋_GB2312" w:cs="仿宋_GB2312"/>
          <w:color w:val="auto"/>
          <w:kern w:val="0"/>
          <w:sz w:val="32"/>
          <w:szCs w:val="32"/>
          <w:highlight w:val="none"/>
        </w:rPr>
        <w:t>万元，镇级上解收入</w:t>
      </w:r>
      <w:r>
        <w:rPr>
          <w:rFonts w:hint="eastAsia" w:ascii="Times New Roman" w:hAnsi="Times New Roman" w:eastAsia="仿宋_GB2312" w:cs="仿宋_GB2312"/>
          <w:color w:val="auto"/>
          <w:kern w:val="0"/>
          <w:sz w:val="32"/>
          <w:szCs w:val="32"/>
          <w:highlight w:val="none"/>
          <w:lang w:val="en-US" w:eastAsia="zh-CN"/>
        </w:rPr>
        <w:t>141131</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动用</w:t>
      </w:r>
      <w:r>
        <w:rPr>
          <w:rFonts w:hint="eastAsia" w:ascii="Times New Roman" w:hAnsi="Times New Roman" w:eastAsia="仿宋_GB2312" w:cs="仿宋_GB2312"/>
          <w:color w:val="auto"/>
          <w:kern w:val="0"/>
          <w:sz w:val="32"/>
          <w:szCs w:val="32"/>
          <w:highlight w:val="none"/>
        </w:rPr>
        <w:t>预算稳定调节基金</w:t>
      </w:r>
      <w:r>
        <w:rPr>
          <w:rFonts w:hint="eastAsia" w:ascii="Times New Roman" w:hAnsi="Times New Roman" w:eastAsia="仿宋_GB2312" w:cs="仿宋_GB2312"/>
          <w:color w:val="auto"/>
          <w:kern w:val="0"/>
          <w:sz w:val="32"/>
          <w:szCs w:val="32"/>
          <w:highlight w:val="none"/>
          <w:lang w:val="en-US" w:eastAsia="zh-CN"/>
        </w:rPr>
        <w:t>6619</w:t>
      </w:r>
      <w:r>
        <w:rPr>
          <w:rFonts w:hint="eastAsia" w:ascii="Times New Roman" w:hAnsi="Times New Roman" w:eastAsia="仿宋_GB2312" w:cs="仿宋_GB2312"/>
          <w:color w:val="auto"/>
          <w:kern w:val="0"/>
          <w:sz w:val="32"/>
          <w:szCs w:val="32"/>
          <w:highlight w:val="none"/>
        </w:rPr>
        <w:t>万元，上年结转</w:t>
      </w:r>
      <w:r>
        <w:rPr>
          <w:rFonts w:hint="eastAsia" w:ascii="Times New Roman" w:hAnsi="Times New Roman" w:eastAsia="仿宋_GB2312" w:cs="仿宋_GB2312"/>
          <w:color w:val="auto"/>
          <w:kern w:val="0"/>
          <w:sz w:val="32"/>
          <w:szCs w:val="32"/>
          <w:highlight w:val="none"/>
          <w:lang w:eastAsia="zh-CN"/>
        </w:rPr>
        <w:t>结余</w:t>
      </w:r>
      <w:r>
        <w:rPr>
          <w:rFonts w:hint="eastAsia" w:ascii="Times New Roman" w:hAnsi="Times New Roman" w:eastAsia="仿宋_GB2312" w:cs="仿宋_GB2312"/>
          <w:color w:val="auto"/>
          <w:kern w:val="0"/>
          <w:sz w:val="32"/>
          <w:szCs w:val="32"/>
          <w:highlight w:val="none"/>
          <w:lang w:val="en-US" w:eastAsia="zh-CN"/>
        </w:rPr>
        <w:t>29351</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，调入资金</w:t>
      </w:r>
      <w:r>
        <w:rPr>
          <w:rFonts w:hint="eastAsia" w:ascii="Times New Roman" w:hAnsi="Times New Roman" w:eastAsia="仿宋_GB2312" w:cs="仿宋_GB2312"/>
          <w:color w:val="auto"/>
          <w:kern w:val="0"/>
          <w:sz w:val="32"/>
          <w:szCs w:val="32"/>
          <w:highlight w:val="none"/>
          <w:lang w:val="en-US" w:eastAsia="zh-CN"/>
        </w:rPr>
        <w:t>42935万元，一般债务转贷收入12415万元</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一、市级收入主要项目情况</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市级</w:t>
      </w:r>
      <w:r>
        <w:rPr>
          <w:rFonts w:hint="eastAsia" w:ascii="Times New Roman" w:hAnsi="Times New Roman" w:eastAsia="仿宋_GB2312" w:cs="仿宋_GB2312"/>
          <w:color w:val="auto"/>
          <w:kern w:val="0"/>
          <w:sz w:val="32"/>
          <w:szCs w:val="32"/>
          <w:highlight w:val="none"/>
          <w:lang w:eastAsia="zh-CN"/>
        </w:rPr>
        <w:t>一般公共预算</w:t>
      </w:r>
      <w:r>
        <w:rPr>
          <w:rFonts w:hint="eastAsia" w:ascii="Times New Roman" w:hAnsi="Times New Roman" w:eastAsia="仿宋_GB2312" w:cs="仿宋_GB2312"/>
          <w:color w:val="auto"/>
          <w:kern w:val="0"/>
          <w:sz w:val="32"/>
          <w:szCs w:val="32"/>
          <w:highlight w:val="none"/>
        </w:rPr>
        <w:t>收入</w:t>
      </w:r>
      <w:r>
        <w:rPr>
          <w:rFonts w:hint="eastAsia" w:ascii="Times New Roman" w:hAnsi="Times New Roman" w:eastAsia="仿宋_GB2312" w:cs="仿宋_GB2312"/>
          <w:color w:val="auto"/>
          <w:kern w:val="0"/>
          <w:sz w:val="32"/>
          <w:szCs w:val="32"/>
          <w:highlight w:val="none"/>
          <w:lang w:val="en-US" w:eastAsia="zh-CN"/>
        </w:rPr>
        <w:t>349585</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同比增长</w:t>
      </w:r>
      <w:r>
        <w:rPr>
          <w:rFonts w:hint="eastAsia" w:ascii="Times New Roman" w:hAnsi="Times New Roman" w:eastAsia="仿宋_GB2312" w:cs="仿宋_GB2312"/>
          <w:color w:val="auto"/>
          <w:kern w:val="0"/>
          <w:sz w:val="32"/>
          <w:szCs w:val="32"/>
          <w:highlight w:val="none"/>
          <w:lang w:val="en-US" w:eastAsia="zh-CN"/>
        </w:rPr>
        <w:t>6.6%</w:t>
      </w:r>
      <w:r>
        <w:rPr>
          <w:rFonts w:hint="eastAsia" w:ascii="Times New Roman" w:hAnsi="Times New Roman" w:eastAsia="仿宋_GB2312" w:cs="仿宋_GB2312"/>
          <w:color w:val="auto"/>
          <w:kern w:val="0"/>
          <w:sz w:val="32"/>
          <w:szCs w:val="32"/>
          <w:highlight w:val="none"/>
        </w:rPr>
        <w:t>。其中：税收收入</w:t>
      </w:r>
      <w:r>
        <w:rPr>
          <w:rFonts w:hint="eastAsia" w:ascii="Times New Roman" w:hAnsi="Times New Roman" w:eastAsia="仿宋_GB2312" w:cs="仿宋_GB2312"/>
          <w:color w:val="auto"/>
          <w:kern w:val="0"/>
          <w:sz w:val="32"/>
          <w:szCs w:val="32"/>
          <w:highlight w:val="none"/>
          <w:lang w:val="en-US" w:eastAsia="zh-CN"/>
        </w:rPr>
        <w:t>212575</w:t>
      </w:r>
      <w:r>
        <w:rPr>
          <w:rFonts w:hint="eastAsia" w:ascii="Times New Roman" w:hAnsi="Times New Roman" w:eastAsia="仿宋_GB2312" w:cs="仿宋_GB2312"/>
          <w:color w:val="auto"/>
          <w:kern w:val="0"/>
          <w:sz w:val="32"/>
          <w:szCs w:val="32"/>
          <w:highlight w:val="none"/>
        </w:rPr>
        <w:t>万元，增加</w:t>
      </w:r>
      <w:r>
        <w:rPr>
          <w:rFonts w:hint="eastAsia" w:ascii="Times New Roman" w:hAnsi="Times New Roman" w:eastAsia="仿宋_GB2312" w:cs="仿宋_GB2312"/>
          <w:color w:val="auto"/>
          <w:kern w:val="0"/>
          <w:sz w:val="32"/>
          <w:szCs w:val="32"/>
          <w:highlight w:val="none"/>
          <w:lang w:val="en-US" w:eastAsia="zh-CN"/>
        </w:rPr>
        <w:t>15298</w:t>
      </w:r>
      <w:r>
        <w:rPr>
          <w:rFonts w:hint="eastAsia" w:ascii="Times New Roman" w:hAnsi="Times New Roman" w:eastAsia="仿宋_GB2312" w:cs="仿宋_GB2312"/>
          <w:color w:val="auto"/>
          <w:kern w:val="0"/>
          <w:sz w:val="32"/>
          <w:szCs w:val="32"/>
          <w:highlight w:val="none"/>
        </w:rPr>
        <w:t>万元，增长</w:t>
      </w:r>
      <w:r>
        <w:rPr>
          <w:rFonts w:hint="eastAsia" w:ascii="Times New Roman" w:hAnsi="Times New Roman" w:eastAsia="仿宋_GB2312" w:cs="仿宋_GB2312"/>
          <w:color w:val="auto"/>
          <w:kern w:val="0"/>
          <w:sz w:val="32"/>
          <w:szCs w:val="32"/>
          <w:highlight w:val="none"/>
          <w:lang w:val="en-US" w:eastAsia="zh-CN"/>
        </w:rPr>
        <w:t>7.8</w:t>
      </w:r>
      <w:r>
        <w:rPr>
          <w:rFonts w:hint="eastAsia" w:ascii="Times New Roman" w:hAnsi="Times New Roman" w:eastAsia="仿宋_GB2312" w:cs="仿宋_GB2312"/>
          <w:color w:val="auto"/>
          <w:kern w:val="0"/>
          <w:sz w:val="32"/>
          <w:szCs w:val="32"/>
          <w:highlight w:val="none"/>
        </w:rPr>
        <w:t>%；非税收入</w:t>
      </w:r>
      <w:r>
        <w:rPr>
          <w:rFonts w:hint="eastAsia" w:ascii="Times New Roman" w:hAnsi="Times New Roman" w:eastAsia="仿宋_GB2312" w:cs="仿宋_GB2312"/>
          <w:color w:val="auto"/>
          <w:kern w:val="0"/>
          <w:sz w:val="32"/>
          <w:szCs w:val="32"/>
          <w:highlight w:val="none"/>
          <w:lang w:val="en-US" w:eastAsia="zh-CN"/>
        </w:rPr>
        <w:t>137010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6278</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4.8</w:t>
      </w:r>
      <w:r>
        <w:rPr>
          <w:rFonts w:hint="eastAsia" w:ascii="Times New Roman" w:hAnsi="Times New Roman" w:eastAsia="仿宋_GB2312" w:cs="仿宋_GB2312"/>
          <w:color w:val="auto"/>
          <w:kern w:val="0"/>
          <w:sz w:val="32"/>
          <w:szCs w:val="32"/>
          <w:highlight w:val="none"/>
        </w:rPr>
        <w:t>%。主要项目情况是：</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增值税</w:t>
      </w:r>
      <w:r>
        <w:rPr>
          <w:rFonts w:hint="eastAsia" w:ascii="Times New Roman" w:hAnsi="Times New Roman" w:eastAsia="仿宋_GB2312" w:cs="仿宋_GB2312"/>
          <w:color w:val="auto"/>
          <w:kern w:val="0"/>
          <w:sz w:val="32"/>
          <w:szCs w:val="32"/>
          <w:highlight w:val="none"/>
          <w:lang w:val="en-US" w:eastAsia="zh-CN"/>
        </w:rPr>
        <w:t>109940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val="en-US" w:eastAsia="zh-CN"/>
        </w:rPr>
        <w:t>增加5743</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5.5</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企业所得税</w:t>
      </w:r>
      <w:r>
        <w:rPr>
          <w:rFonts w:hint="eastAsia" w:ascii="Times New Roman" w:hAnsi="Times New Roman" w:eastAsia="仿宋_GB2312" w:cs="仿宋_GB2312"/>
          <w:color w:val="auto"/>
          <w:kern w:val="0"/>
          <w:sz w:val="32"/>
          <w:szCs w:val="32"/>
          <w:highlight w:val="none"/>
          <w:lang w:val="en-US" w:eastAsia="zh-CN"/>
        </w:rPr>
        <w:t>46696</w:t>
      </w:r>
      <w:r>
        <w:rPr>
          <w:rFonts w:hint="eastAsia" w:ascii="Times New Roman" w:hAnsi="Times New Roman" w:eastAsia="仿宋_GB2312" w:cs="仿宋_GB2312"/>
          <w:color w:val="auto"/>
          <w:kern w:val="0"/>
          <w:sz w:val="32"/>
          <w:szCs w:val="32"/>
          <w:highlight w:val="none"/>
        </w:rPr>
        <w:t>万元，增加</w:t>
      </w:r>
      <w:r>
        <w:rPr>
          <w:rFonts w:hint="eastAsia" w:ascii="Times New Roman" w:hAnsi="Times New Roman" w:eastAsia="仿宋_GB2312" w:cs="仿宋_GB2312"/>
          <w:color w:val="auto"/>
          <w:kern w:val="0"/>
          <w:sz w:val="32"/>
          <w:szCs w:val="32"/>
          <w:highlight w:val="none"/>
          <w:lang w:val="en-US" w:eastAsia="zh-CN"/>
        </w:rPr>
        <w:t>1360</w:t>
      </w:r>
      <w:r>
        <w:rPr>
          <w:rFonts w:hint="eastAsia" w:ascii="Times New Roman" w:hAnsi="Times New Roman" w:eastAsia="仿宋_GB2312" w:cs="仿宋_GB2312"/>
          <w:color w:val="auto"/>
          <w:kern w:val="0"/>
          <w:sz w:val="32"/>
          <w:szCs w:val="32"/>
          <w:highlight w:val="none"/>
        </w:rPr>
        <w:t>万元，增长</w:t>
      </w: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个人所得税</w:t>
      </w:r>
      <w:r>
        <w:rPr>
          <w:rFonts w:hint="eastAsia" w:ascii="Times New Roman" w:hAnsi="Times New Roman" w:eastAsia="仿宋_GB2312" w:cs="仿宋_GB2312"/>
          <w:color w:val="auto"/>
          <w:kern w:val="0"/>
          <w:sz w:val="32"/>
          <w:szCs w:val="32"/>
          <w:highlight w:val="none"/>
          <w:lang w:val="en-US" w:eastAsia="zh-CN"/>
        </w:rPr>
        <w:t>4629</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1707万</w:t>
      </w:r>
      <w:r>
        <w:rPr>
          <w:rFonts w:hint="eastAsia" w:ascii="Times New Roman" w:hAnsi="Times New Roman" w:eastAsia="仿宋_GB2312" w:cs="仿宋_GB2312"/>
          <w:color w:val="auto"/>
          <w:kern w:val="0"/>
          <w:sz w:val="32"/>
          <w:szCs w:val="32"/>
          <w:highlight w:val="none"/>
        </w:rPr>
        <w:t>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58.4</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4</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环境保护税为</w:t>
      </w:r>
      <w:r>
        <w:rPr>
          <w:rFonts w:hint="eastAsia" w:ascii="Times New Roman" w:hAnsi="Times New Roman" w:eastAsia="仿宋_GB2312" w:cs="仿宋_GB2312"/>
          <w:color w:val="auto"/>
          <w:kern w:val="0"/>
          <w:sz w:val="32"/>
          <w:szCs w:val="32"/>
          <w:highlight w:val="none"/>
          <w:lang w:val="en-US" w:eastAsia="zh-CN"/>
        </w:rPr>
        <w:t>3800</w:t>
      </w:r>
      <w:r>
        <w:rPr>
          <w:rFonts w:hint="eastAsia" w:ascii="Times New Roman" w:hAnsi="Times New Roman" w:eastAsia="仿宋_GB2312" w:cs="仿宋_GB2312"/>
          <w:color w:val="auto"/>
          <w:kern w:val="0"/>
          <w:sz w:val="32"/>
          <w:szCs w:val="32"/>
          <w:highlight w:val="none"/>
        </w:rPr>
        <w:t>万元，增加</w:t>
      </w:r>
      <w:r>
        <w:rPr>
          <w:rFonts w:hint="eastAsia" w:ascii="Times New Roman" w:hAnsi="Times New Roman" w:eastAsia="仿宋_GB2312" w:cs="仿宋_GB2312"/>
          <w:color w:val="auto"/>
          <w:kern w:val="0"/>
          <w:sz w:val="32"/>
          <w:szCs w:val="32"/>
          <w:highlight w:val="none"/>
          <w:lang w:val="en-US" w:eastAsia="zh-CN"/>
        </w:rPr>
        <w:t>889</w:t>
      </w:r>
      <w:r>
        <w:rPr>
          <w:rFonts w:hint="eastAsia" w:ascii="Times New Roman" w:hAnsi="Times New Roman" w:eastAsia="仿宋_GB2312" w:cs="仿宋_GB2312"/>
          <w:color w:val="auto"/>
          <w:kern w:val="0"/>
          <w:sz w:val="32"/>
          <w:szCs w:val="32"/>
          <w:highlight w:val="none"/>
        </w:rPr>
        <w:t>万元，增长</w:t>
      </w:r>
      <w:r>
        <w:rPr>
          <w:rFonts w:hint="eastAsia" w:ascii="Times New Roman" w:hAnsi="Times New Roman" w:eastAsia="仿宋_GB2312" w:cs="仿宋_GB2312"/>
          <w:color w:val="auto"/>
          <w:kern w:val="0"/>
          <w:sz w:val="32"/>
          <w:szCs w:val="32"/>
          <w:highlight w:val="none"/>
          <w:lang w:val="en-US" w:eastAsia="zh-CN"/>
        </w:rPr>
        <w:t>30.5</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5</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资源税（含水资源税）</w:t>
      </w:r>
      <w:r>
        <w:rPr>
          <w:rFonts w:hint="eastAsia" w:ascii="Times New Roman" w:hAnsi="Times New Roman" w:eastAsia="仿宋_GB2312" w:cs="仿宋_GB2312"/>
          <w:color w:val="auto"/>
          <w:kern w:val="0"/>
          <w:sz w:val="32"/>
          <w:szCs w:val="32"/>
          <w:highlight w:val="none"/>
          <w:lang w:val="en-US" w:eastAsia="zh-CN"/>
        </w:rPr>
        <w:t>7544</w:t>
      </w:r>
      <w:r>
        <w:rPr>
          <w:rFonts w:hint="eastAsia" w:ascii="Times New Roman" w:hAnsi="Times New Roman" w:eastAsia="仿宋_GB2312" w:cs="仿宋_GB2312"/>
          <w:color w:val="auto"/>
          <w:kern w:val="0"/>
          <w:sz w:val="32"/>
          <w:szCs w:val="32"/>
          <w:highlight w:val="none"/>
        </w:rPr>
        <w:t>万元，增加</w:t>
      </w:r>
      <w:r>
        <w:rPr>
          <w:rFonts w:hint="eastAsia" w:ascii="Times New Roman" w:hAnsi="Times New Roman" w:eastAsia="仿宋_GB2312" w:cs="仿宋_GB2312"/>
          <w:color w:val="auto"/>
          <w:kern w:val="0"/>
          <w:sz w:val="32"/>
          <w:szCs w:val="32"/>
          <w:highlight w:val="none"/>
          <w:lang w:val="en-US" w:eastAsia="zh-CN"/>
        </w:rPr>
        <w:t>2954</w:t>
      </w:r>
      <w:r>
        <w:rPr>
          <w:rFonts w:hint="eastAsia" w:ascii="Times New Roman" w:hAnsi="Times New Roman" w:eastAsia="仿宋_GB2312" w:cs="仿宋_GB2312"/>
          <w:color w:val="auto"/>
          <w:kern w:val="0"/>
          <w:sz w:val="32"/>
          <w:szCs w:val="32"/>
          <w:highlight w:val="none"/>
        </w:rPr>
        <w:t>万元，增长</w:t>
      </w:r>
      <w:r>
        <w:rPr>
          <w:rFonts w:hint="eastAsia" w:ascii="Times New Roman" w:hAnsi="Times New Roman" w:eastAsia="仿宋_GB2312" w:cs="仿宋_GB2312"/>
          <w:color w:val="auto"/>
          <w:kern w:val="0"/>
          <w:sz w:val="32"/>
          <w:szCs w:val="32"/>
          <w:highlight w:val="none"/>
          <w:lang w:val="en-US" w:eastAsia="zh-CN"/>
        </w:rPr>
        <w:t>64.4</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6</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eastAsia="zh-CN"/>
        </w:rPr>
        <w:t>城市维护建设税</w:t>
      </w:r>
      <w:r>
        <w:rPr>
          <w:rFonts w:hint="eastAsia" w:ascii="Times New Roman" w:hAnsi="Times New Roman" w:eastAsia="仿宋_GB2312" w:cs="仿宋_GB2312"/>
          <w:color w:val="auto"/>
          <w:kern w:val="0"/>
          <w:sz w:val="32"/>
          <w:szCs w:val="32"/>
          <w:highlight w:val="none"/>
          <w:lang w:val="en-US" w:eastAsia="zh-CN"/>
        </w:rPr>
        <w:t>14905</w:t>
      </w:r>
      <w:r>
        <w:rPr>
          <w:rFonts w:hint="eastAsia" w:ascii="Times New Roman" w:hAnsi="Times New Roman" w:eastAsia="仿宋_GB2312" w:cs="仿宋_GB2312"/>
          <w:color w:val="auto"/>
          <w:kern w:val="0"/>
          <w:sz w:val="32"/>
          <w:szCs w:val="32"/>
          <w:highlight w:val="none"/>
        </w:rPr>
        <w:t>万元，增加</w:t>
      </w:r>
      <w:r>
        <w:rPr>
          <w:rFonts w:hint="eastAsia" w:ascii="Times New Roman" w:hAnsi="Times New Roman" w:eastAsia="仿宋_GB2312" w:cs="仿宋_GB2312"/>
          <w:color w:val="auto"/>
          <w:kern w:val="0"/>
          <w:sz w:val="32"/>
          <w:szCs w:val="32"/>
          <w:highlight w:val="none"/>
          <w:lang w:val="en-US" w:eastAsia="zh-CN"/>
        </w:rPr>
        <w:t>345</w:t>
      </w:r>
      <w:r>
        <w:rPr>
          <w:rFonts w:hint="eastAsia" w:ascii="Times New Roman" w:hAnsi="Times New Roman" w:eastAsia="仿宋_GB2312" w:cs="仿宋_GB2312"/>
          <w:color w:val="auto"/>
          <w:kern w:val="0"/>
          <w:sz w:val="32"/>
          <w:szCs w:val="32"/>
          <w:highlight w:val="none"/>
        </w:rPr>
        <w:t>万元，增长</w:t>
      </w:r>
      <w:r>
        <w:rPr>
          <w:rFonts w:hint="eastAsia" w:ascii="Times New Roman" w:hAnsi="Times New Roman" w:eastAsia="仿宋_GB2312" w:cs="仿宋_GB2312"/>
          <w:color w:val="auto"/>
          <w:kern w:val="0"/>
          <w:sz w:val="32"/>
          <w:szCs w:val="32"/>
          <w:highlight w:val="none"/>
          <w:lang w:val="en-US" w:eastAsia="zh-CN"/>
        </w:rPr>
        <w:t>2.4</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7.耕地占用税8700万元，增加923万元，增长12%。</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8.</w:t>
      </w:r>
      <w:r>
        <w:rPr>
          <w:rFonts w:hint="eastAsia" w:ascii="Times New Roman" w:hAnsi="Times New Roman" w:eastAsia="仿宋_GB2312" w:cs="仿宋_GB2312"/>
          <w:color w:val="auto"/>
          <w:kern w:val="0"/>
          <w:sz w:val="32"/>
          <w:szCs w:val="32"/>
          <w:highlight w:val="none"/>
        </w:rPr>
        <w:t>契税</w:t>
      </w:r>
      <w:r>
        <w:rPr>
          <w:rFonts w:hint="eastAsia" w:ascii="Times New Roman" w:hAnsi="Times New Roman" w:eastAsia="仿宋_GB2312" w:cs="仿宋_GB2312"/>
          <w:color w:val="auto"/>
          <w:kern w:val="0"/>
          <w:sz w:val="32"/>
          <w:szCs w:val="32"/>
          <w:highlight w:val="none"/>
          <w:lang w:val="en-US" w:eastAsia="zh-CN"/>
        </w:rPr>
        <w:t>16361</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val="en-US" w:eastAsia="zh-CN"/>
        </w:rPr>
        <w:t>增加1462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val="en-US" w:eastAsia="zh-CN"/>
        </w:rPr>
        <w:t>增长9.8</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9.</w:t>
      </w:r>
      <w:r>
        <w:rPr>
          <w:rFonts w:hint="eastAsia" w:ascii="Times New Roman" w:hAnsi="Times New Roman" w:eastAsia="仿宋_GB2312" w:cs="仿宋_GB2312"/>
          <w:color w:val="auto"/>
          <w:kern w:val="0"/>
          <w:sz w:val="32"/>
          <w:szCs w:val="32"/>
          <w:highlight w:val="none"/>
        </w:rPr>
        <w:t>专项收入</w:t>
      </w:r>
      <w:r>
        <w:rPr>
          <w:rFonts w:hint="eastAsia" w:ascii="Times New Roman" w:hAnsi="Times New Roman" w:eastAsia="仿宋_GB2312" w:cs="仿宋_GB2312"/>
          <w:color w:val="auto"/>
          <w:kern w:val="0"/>
          <w:sz w:val="32"/>
          <w:szCs w:val="32"/>
          <w:highlight w:val="none"/>
          <w:lang w:val="en-US" w:eastAsia="zh-CN"/>
        </w:rPr>
        <w:t>31690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2712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9.4</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10.</w:t>
      </w:r>
      <w:r>
        <w:rPr>
          <w:rFonts w:hint="eastAsia" w:ascii="Times New Roman" w:hAnsi="Times New Roman" w:eastAsia="仿宋_GB2312" w:cs="仿宋_GB2312"/>
          <w:color w:val="auto"/>
          <w:kern w:val="0"/>
          <w:sz w:val="32"/>
          <w:szCs w:val="32"/>
          <w:highlight w:val="none"/>
        </w:rPr>
        <w:t>行政事业性收费收入</w:t>
      </w:r>
      <w:r>
        <w:rPr>
          <w:rFonts w:hint="eastAsia" w:ascii="Times New Roman" w:hAnsi="Times New Roman" w:eastAsia="仿宋_GB2312" w:cs="仿宋_GB2312"/>
          <w:color w:val="auto"/>
          <w:kern w:val="0"/>
          <w:sz w:val="32"/>
          <w:szCs w:val="32"/>
          <w:highlight w:val="none"/>
          <w:lang w:val="en-US" w:eastAsia="zh-CN"/>
        </w:rPr>
        <w:t>12738</w:t>
      </w:r>
      <w:r>
        <w:rPr>
          <w:rFonts w:hint="eastAsia" w:ascii="Times New Roman" w:hAnsi="Times New Roman" w:eastAsia="仿宋_GB2312" w:cs="仿宋_GB2312"/>
          <w:color w:val="auto"/>
          <w:kern w:val="0"/>
          <w:sz w:val="32"/>
          <w:szCs w:val="32"/>
          <w:highlight w:val="none"/>
        </w:rPr>
        <w:t>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486</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罚没收入</w:t>
      </w:r>
      <w:r>
        <w:rPr>
          <w:rFonts w:hint="eastAsia" w:ascii="Times New Roman" w:hAnsi="Times New Roman" w:eastAsia="仿宋_GB2312" w:cs="仿宋_GB2312"/>
          <w:color w:val="auto"/>
          <w:kern w:val="0"/>
          <w:sz w:val="32"/>
          <w:szCs w:val="32"/>
          <w:highlight w:val="none"/>
          <w:lang w:val="en-US" w:eastAsia="zh-CN"/>
        </w:rPr>
        <w:t>22929</w:t>
      </w:r>
      <w:r>
        <w:rPr>
          <w:rFonts w:hint="eastAsia" w:ascii="Times New Roman" w:hAnsi="Times New Roman" w:eastAsia="仿宋_GB2312" w:cs="仿宋_GB2312"/>
          <w:color w:val="auto"/>
          <w:kern w:val="0"/>
          <w:sz w:val="32"/>
          <w:szCs w:val="32"/>
          <w:highlight w:val="none"/>
        </w:rPr>
        <w:t>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2980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14.9</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国有资本经营收入</w:t>
      </w:r>
      <w:r>
        <w:rPr>
          <w:rFonts w:hint="eastAsia" w:ascii="Times New Roman" w:hAnsi="Times New Roman" w:eastAsia="仿宋_GB2312" w:cs="仿宋_GB2312"/>
          <w:color w:val="auto"/>
          <w:kern w:val="0"/>
          <w:sz w:val="32"/>
          <w:szCs w:val="32"/>
          <w:highlight w:val="none"/>
          <w:lang w:val="en-US" w:eastAsia="zh-CN"/>
        </w:rPr>
        <w:t>17000万元，增加2095万元，增长14.1%。</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13.</w:t>
      </w:r>
      <w:r>
        <w:rPr>
          <w:rFonts w:hint="eastAsia" w:ascii="Times New Roman" w:hAnsi="Times New Roman" w:eastAsia="仿宋_GB2312" w:cs="仿宋_GB2312"/>
          <w:color w:val="auto"/>
          <w:kern w:val="0"/>
          <w:sz w:val="32"/>
          <w:szCs w:val="32"/>
          <w:highlight w:val="none"/>
        </w:rPr>
        <w:t>国有资源</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资产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有偿使用收入</w:t>
      </w:r>
      <w:r>
        <w:rPr>
          <w:rFonts w:hint="eastAsia" w:ascii="Times New Roman" w:hAnsi="Times New Roman" w:eastAsia="仿宋_GB2312" w:cs="仿宋_GB2312"/>
          <w:color w:val="auto"/>
          <w:kern w:val="0"/>
          <w:sz w:val="32"/>
          <w:szCs w:val="32"/>
          <w:highlight w:val="none"/>
          <w:lang w:val="en-US" w:eastAsia="zh-CN"/>
        </w:rPr>
        <w:t>42863</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减少</w:t>
      </w:r>
      <w:r>
        <w:rPr>
          <w:rFonts w:hint="eastAsia" w:ascii="Times New Roman" w:hAnsi="Times New Roman" w:eastAsia="仿宋_GB2312" w:cs="仿宋_GB2312"/>
          <w:color w:val="auto"/>
          <w:kern w:val="0"/>
          <w:sz w:val="32"/>
          <w:szCs w:val="32"/>
          <w:highlight w:val="none"/>
          <w:lang w:val="en-US" w:eastAsia="zh-CN"/>
        </w:rPr>
        <w:t>3984</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下降</w:t>
      </w:r>
      <w:r>
        <w:rPr>
          <w:rFonts w:hint="eastAsia" w:ascii="Times New Roman" w:hAnsi="Times New Roman" w:eastAsia="仿宋_GB2312" w:cs="仿宋_GB2312"/>
          <w:color w:val="auto"/>
          <w:kern w:val="0"/>
          <w:sz w:val="32"/>
          <w:szCs w:val="32"/>
          <w:highlight w:val="none"/>
          <w:lang w:val="en-US" w:eastAsia="zh-CN"/>
        </w:rPr>
        <w:t>8.5</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政府住房基金收入</w:t>
      </w:r>
      <w:r>
        <w:rPr>
          <w:rFonts w:hint="eastAsia" w:ascii="Times New Roman" w:hAnsi="Times New Roman" w:eastAsia="仿宋_GB2312" w:cs="仿宋_GB2312"/>
          <w:color w:val="auto"/>
          <w:kern w:val="0"/>
          <w:sz w:val="32"/>
          <w:szCs w:val="32"/>
          <w:highlight w:val="none"/>
          <w:lang w:val="en-US" w:eastAsia="zh-CN"/>
        </w:rPr>
        <w:t>7200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，增加</w:t>
      </w:r>
      <w:r>
        <w:rPr>
          <w:rFonts w:hint="eastAsia" w:ascii="Times New Roman" w:hAnsi="Times New Roman" w:eastAsia="仿宋_GB2312" w:cs="仿宋_GB2312"/>
          <w:color w:val="auto"/>
          <w:kern w:val="0"/>
          <w:sz w:val="32"/>
          <w:szCs w:val="32"/>
          <w:highlight w:val="none"/>
          <w:lang w:val="en-US" w:eastAsia="zh-CN"/>
        </w:rPr>
        <w:t>973</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增长</w:t>
      </w:r>
      <w:r>
        <w:rPr>
          <w:rFonts w:hint="eastAsia" w:ascii="Times New Roman" w:hAnsi="Times New Roman" w:eastAsia="仿宋_GB2312" w:cs="仿宋_GB2312"/>
          <w:color w:val="auto"/>
          <w:kern w:val="0"/>
          <w:sz w:val="32"/>
          <w:szCs w:val="32"/>
          <w:highlight w:val="none"/>
          <w:lang w:val="en-US" w:eastAsia="zh-CN"/>
        </w:rPr>
        <w:t>15.6</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其他收入</w:t>
      </w:r>
      <w:r>
        <w:rPr>
          <w:rFonts w:hint="eastAsia" w:ascii="Times New Roman" w:hAnsi="Times New Roman" w:eastAsia="仿宋_GB2312" w:cs="仿宋_GB2312"/>
          <w:color w:val="auto"/>
          <w:kern w:val="0"/>
          <w:sz w:val="32"/>
          <w:szCs w:val="32"/>
          <w:highlight w:val="none"/>
          <w:lang w:val="en-US" w:eastAsia="zh-CN"/>
        </w:rPr>
        <w:t>2590</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增加1041万元，增长67.2%。</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二、上级补助收入项目情况</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上级补助收入</w:t>
      </w:r>
      <w:r>
        <w:rPr>
          <w:rFonts w:hint="eastAsia" w:ascii="Times New Roman" w:hAnsi="Times New Roman" w:eastAsia="仿宋_GB2312" w:cs="仿宋_GB2312"/>
          <w:color w:val="auto"/>
          <w:kern w:val="0"/>
          <w:sz w:val="32"/>
          <w:szCs w:val="32"/>
          <w:highlight w:val="none"/>
          <w:lang w:val="en-US" w:eastAsia="zh-CN"/>
        </w:rPr>
        <w:t>277822</w:t>
      </w:r>
      <w:r>
        <w:rPr>
          <w:rFonts w:hint="eastAsia" w:ascii="Times New Roman" w:hAnsi="Times New Roman" w:eastAsia="仿宋_GB2312" w:cs="仿宋_GB2312"/>
          <w:color w:val="auto"/>
          <w:kern w:val="0"/>
          <w:sz w:val="32"/>
          <w:szCs w:val="32"/>
          <w:highlight w:val="none"/>
        </w:rPr>
        <w:t>万元，其中：返还性收入</w:t>
      </w:r>
      <w:r>
        <w:rPr>
          <w:rFonts w:hint="eastAsia" w:ascii="Times New Roman" w:hAnsi="Times New Roman" w:eastAsia="仿宋_GB2312" w:cs="仿宋_GB2312"/>
          <w:color w:val="auto"/>
          <w:kern w:val="0"/>
          <w:sz w:val="32"/>
          <w:szCs w:val="32"/>
          <w:highlight w:val="none"/>
          <w:lang w:val="en-US" w:eastAsia="zh-CN"/>
        </w:rPr>
        <w:t>8267</w:t>
      </w:r>
      <w:r>
        <w:rPr>
          <w:rFonts w:hint="eastAsia" w:ascii="Times New Roman" w:hAnsi="Times New Roman" w:eastAsia="仿宋_GB2312" w:cs="仿宋_GB2312"/>
          <w:color w:val="auto"/>
          <w:kern w:val="0"/>
          <w:sz w:val="32"/>
          <w:szCs w:val="32"/>
          <w:highlight w:val="none"/>
        </w:rPr>
        <w:t>万元，一般性转移支付收入</w:t>
      </w:r>
      <w:r>
        <w:rPr>
          <w:rFonts w:hint="eastAsia" w:ascii="Times New Roman" w:hAnsi="Times New Roman" w:eastAsia="仿宋_GB2312" w:cs="仿宋_GB2312"/>
          <w:color w:val="auto"/>
          <w:kern w:val="0"/>
          <w:sz w:val="32"/>
          <w:szCs w:val="32"/>
          <w:highlight w:val="none"/>
          <w:lang w:val="en-US" w:eastAsia="zh-CN"/>
        </w:rPr>
        <w:t>259900</w:t>
      </w:r>
      <w:r>
        <w:rPr>
          <w:rFonts w:hint="eastAsia" w:ascii="Times New Roman" w:hAnsi="Times New Roman" w:eastAsia="仿宋_GB2312" w:cs="仿宋_GB2312"/>
          <w:color w:val="auto"/>
          <w:kern w:val="0"/>
          <w:sz w:val="32"/>
          <w:szCs w:val="32"/>
          <w:highlight w:val="none"/>
        </w:rPr>
        <w:t>万元和专项转移支付收入</w:t>
      </w:r>
      <w:r>
        <w:rPr>
          <w:rFonts w:hint="eastAsia" w:ascii="Times New Roman" w:hAnsi="Times New Roman" w:eastAsia="仿宋_GB2312" w:cs="仿宋_GB2312"/>
          <w:color w:val="auto"/>
          <w:kern w:val="0"/>
          <w:sz w:val="32"/>
          <w:szCs w:val="32"/>
          <w:highlight w:val="none"/>
          <w:lang w:val="en-US" w:eastAsia="zh-CN"/>
        </w:rPr>
        <w:t>9655</w:t>
      </w:r>
      <w:r>
        <w:rPr>
          <w:rFonts w:hint="eastAsia" w:ascii="Times New Roman" w:hAnsi="Times New Roman" w:eastAsia="仿宋_GB2312" w:cs="仿宋_GB2312"/>
          <w:color w:val="auto"/>
          <w:kern w:val="0"/>
          <w:sz w:val="32"/>
          <w:szCs w:val="32"/>
          <w:highlight w:val="none"/>
        </w:rPr>
        <w:t>万元。具体项目情况是：</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返还性收入</w:t>
      </w:r>
      <w:r>
        <w:rPr>
          <w:rFonts w:hint="eastAsia" w:ascii="Times New Roman" w:hAnsi="Times New Roman" w:eastAsia="仿宋_GB2312" w:cs="仿宋_GB2312"/>
          <w:color w:val="auto"/>
          <w:kern w:val="0"/>
          <w:sz w:val="32"/>
          <w:szCs w:val="32"/>
          <w:highlight w:val="none"/>
          <w:lang w:val="en-US" w:eastAsia="zh-CN"/>
        </w:rPr>
        <w:t>8267</w:t>
      </w:r>
      <w:r>
        <w:rPr>
          <w:rFonts w:hint="eastAsia" w:ascii="Times New Roman" w:hAnsi="Times New Roman" w:eastAsia="仿宋_GB2312" w:cs="仿宋_GB2312"/>
          <w:color w:val="auto"/>
          <w:kern w:val="0"/>
          <w:sz w:val="32"/>
          <w:szCs w:val="32"/>
          <w:highlight w:val="none"/>
        </w:rPr>
        <w:t>万元。其中：增值税税收返还</w:t>
      </w:r>
      <w:r>
        <w:rPr>
          <w:rFonts w:hint="eastAsia" w:ascii="Times New Roman" w:hAnsi="Times New Roman" w:eastAsia="仿宋_GB2312" w:cs="仿宋_GB2312"/>
          <w:color w:val="auto"/>
          <w:kern w:val="0"/>
          <w:sz w:val="32"/>
          <w:szCs w:val="32"/>
          <w:highlight w:val="none"/>
          <w:lang w:val="en-US" w:eastAsia="zh-CN"/>
        </w:rPr>
        <w:t>8494</w:t>
      </w:r>
      <w:r>
        <w:rPr>
          <w:rFonts w:hint="eastAsia" w:ascii="Times New Roman" w:hAnsi="Times New Roman" w:eastAsia="仿宋_GB2312" w:cs="仿宋_GB2312"/>
          <w:color w:val="auto"/>
          <w:kern w:val="0"/>
          <w:sz w:val="32"/>
          <w:szCs w:val="32"/>
          <w:highlight w:val="none"/>
        </w:rPr>
        <w:t>万元，所得税基数返还</w:t>
      </w:r>
      <w:r>
        <w:rPr>
          <w:rFonts w:hint="eastAsia" w:ascii="Times New Roman" w:hAnsi="Times New Roman" w:eastAsia="仿宋_GB2312" w:cs="仿宋_GB2312"/>
          <w:color w:val="auto"/>
          <w:kern w:val="0"/>
          <w:sz w:val="32"/>
          <w:szCs w:val="32"/>
          <w:highlight w:val="none"/>
          <w:lang w:val="en-US" w:eastAsia="zh-CN"/>
        </w:rPr>
        <w:t>4732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成品油价格和税费改革税收返还</w:t>
      </w:r>
      <w:r>
        <w:rPr>
          <w:rFonts w:hint="eastAsia" w:ascii="Times New Roman" w:hAnsi="Times New Roman" w:eastAsia="仿宋_GB2312" w:cs="仿宋_GB2312"/>
          <w:color w:val="auto"/>
          <w:kern w:val="0"/>
          <w:sz w:val="32"/>
          <w:szCs w:val="32"/>
          <w:highlight w:val="none"/>
          <w:lang w:val="en-US" w:eastAsia="zh-CN"/>
        </w:rPr>
        <w:t>3985</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，增值税“五五分享”税收返还</w:t>
      </w:r>
      <w:r>
        <w:rPr>
          <w:rFonts w:hint="eastAsia" w:ascii="Times New Roman" w:hAnsi="Times New Roman" w:eastAsia="仿宋_GB2312" w:cs="仿宋_GB2312"/>
          <w:color w:val="auto"/>
          <w:kern w:val="0"/>
          <w:sz w:val="32"/>
          <w:szCs w:val="32"/>
          <w:highlight w:val="none"/>
          <w:lang w:val="en-US" w:eastAsia="zh-CN"/>
        </w:rPr>
        <w:t>-9096万元</w:t>
      </w:r>
      <w:r>
        <w:rPr>
          <w:rFonts w:hint="eastAsia" w:ascii="Times New Roman" w:hAnsi="Times New Roman" w:eastAsia="仿宋_GB2312" w:cs="仿宋_GB2312"/>
          <w:color w:val="auto"/>
          <w:kern w:val="0"/>
          <w:sz w:val="32"/>
          <w:szCs w:val="32"/>
          <w:highlight w:val="none"/>
          <w:lang w:eastAsia="zh-CN"/>
        </w:rPr>
        <w:t>和消费税税收返还</w:t>
      </w:r>
      <w:r>
        <w:rPr>
          <w:rFonts w:hint="eastAsia" w:ascii="Times New Roman" w:hAnsi="Times New Roman" w:eastAsia="仿宋_GB2312" w:cs="仿宋_GB2312"/>
          <w:color w:val="auto"/>
          <w:kern w:val="0"/>
          <w:sz w:val="32"/>
          <w:szCs w:val="32"/>
          <w:highlight w:val="none"/>
          <w:lang w:val="en-US" w:eastAsia="zh-CN"/>
        </w:rPr>
        <w:t>152万元</w:t>
      </w:r>
      <w:r>
        <w:rPr>
          <w:rFonts w:hint="eastAsia" w:ascii="Times New Roman" w:hAnsi="Times New Roman" w:eastAsia="仿宋_GB2312" w:cs="仿宋_GB2312"/>
          <w:color w:val="auto"/>
          <w:kern w:val="0"/>
          <w:sz w:val="32"/>
          <w:szCs w:val="32"/>
          <w:highlight w:val="none"/>
        </w:rPr>
        <w:t>为基数性补助，保持不变。</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一般性转移支付收入</w:t>
      </w:r>
      <w:r>
        <w:rPr>
          <w:rFonts w:hint="eastAsia" w:ascii="Times New Roman" w:hAnsi="Times New Roman" w:eastAsia="仿宋_GB2312" w:cs="仿宋_GB2312"/>
          <w:color w:val="auto"/>
          <w:kern w:val="0"/>
          <w:sz w:val="32"/>
          <w:szCs w:val="32"/>
          <w:highlight w:val="none"/>
          <w:lang w:val="en-US" w:eastAsia="zh-CN"/>
        </w:rPr>
        <w:t>259900</w:t>
      </w:r>
      <w:r>
        <w:rPr>
          <w:rFonts w:hint="eastAsia" w:ascii="Times New Roman" w:hAnsi="Times New Roman" w:eastAsia="仿宋_GB2312" w:cs="仿宋_GB2312"/>
          <w:color w:val="auto"/>
          <w:kern w:val="0"/>
          <w:sz w:val="32"/>
          <w:szCs w:val="32"/>
          <w:highlight w:val="none"/>
        </w:rPr>
        <w:t>万元。其中：均衡性转移支付</w:t>
      </w:r>
      <w:r>
        <w:rPr>
          <w:rFonts w:hint="eastAsia" w:ascii="Times New Roman" w:hAnsi="Times New Roman" w:eastAsia="仿宋_GB2312" w:cs="仿宋_GB2312"/>
          <w:color w:val="auto"/>
          <w:kern w:val="0"/>
          <w:sz w:val="32"/>
          <w:szCs w:val="32"/>
          <w:highlight w:val="none"/>
          <w:lang w:val="en-US" w:eastAsia="zh-CN"/>
        </w:rPr>
        <w:t>23097</w:t>
      </w:r>
      <w:r>
        <w:rPr>
          <w:rFonts w:hint="eastAsia" w:ascii="Times New Roman" w:hAnsi="Times New Roman" w:eastAsia="仿宋_GB2312" w:cs="仿宋_GB2312"/>
          <w:color w:val="auto"/>
          <w:kern w:val="0"/>
          <w:sz w:val="32"/>
          <w:szCs w:val="32"/>
          <w:highlight w:val="none"/>
        </w:rPr>
        <w:t>万元，县级基本财力保障机制奖补资金收入</w:t>
      </w:r>
      <w:r>
        <w:rPr>
          <w:rFonts w:hint="eastAsia" w:ascii="Times New Roman" w:hAnsi="Times New Roman" w:eastAsia="仿宋_GB2312" w:cs="仿宋_GB2312"/>
          <w:color w:val="auto"/>
          <w:kern w:val="0"/>
          <w:sz w:val="32"/>
          <w:szCs w:val="32"/>
          <w:highlight w:val="none"/>
          <w:lang w:val="en-US" w:eastAsia="zh-CN"/>
        </w:rPr>
        <w:t>7390</w:t>
      </w:r>
      <w:r>
        <w:rPr>
          <w:rFonts w:hint="eastAsia" w:ascii="Times New Roman" w:hAnsi="Times New Roman" w:eastAsia="仿宋_GB2312" w:cs="仿宋_GB2312"/>
          <w:color w:val="auto"/>
          <w:kern w:val="0"/>
          <w:sz w:val="32"/>
          <w:szCs w:val="32"/>
          <w:highlight w:val="none"/>
        </w:rPr>
        <w:t>万元，欠发达地区转移支付收入</w:t>
      </w:r>
      <w:r>
        <w:rPr>
          <w:rFonts w:hint="eastAsia" w:ascii="Times New Roman" w:hAnsi="Times New Roman" w:eastAsia="仿宋_GB2312" w:cs="仿宋_GB2312"/>
          <w:color w:val="auto"/>
          <w:kern w:val="0"/>
          <w:sz w:val="32"/>
          <w:szCs w:val="32"/>
          <w:highlight w:val="none"/>
          <w:lang w:val="en-US" w:eastAsia="zh-CN"/>
        </w:rPr>
        <w:t>1154万元，</w:t>
      </w:r>
      <w:r>
        <w:rPr>
          <w:rFonts w:hint="eastAsia" w:ascii="Times New Roman" w:hAnsi="Times New Roman" w:eastAsia="仿宋_GB2312" w:cs="仿宋_GB2312"/>
          <w:color w:val="auto"/>
          <w:kern w:val="0"/>
          <w:sz w:val="32"/>
          <w:szCs w:val="32"/>
          <w:highlight w:val="none"/>
        </w:rPr>
        <w:t>固定数额补助收入</w:t>
      </w:r>
      <w:r>
        <w:rPr>
          <w:rFonts w:hint="eastAsia" w:ascii="Times New Roman" w:hAnsi="Times New Roman" w:eastAsia="仿宋_GB2312" w:cs="仿宋_GB2312"/>
          <w:color w:val="auto"/>
          <w:kern w:val="0"/>
          <w:sz w:val="32"/>
          <w:szCs w:val="32"/>
          <w:highlight w:val="none"/>
          <w:lang w:val="en-US" w:eastAsia="zh-CN"/>
        </w:rPr>
        <w:t>9762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重点生态功能区转移支付</w:t>
      </w:r>
      <w:r>
        <w:rPr>
          <w:rFonts w:hint="eastAsia" w:ascii="Times New Roman" w:hAnsi="Times New Roman" w:eastAsia="仿宋_GB2312" w:cs="仿宋_GB2312"/>
          <w:color w:val="auto"/>
          <w:kern w:val="0"/>
          <w:sz w:val="32"/>
          <w:szCs w:val="32"/>
          <w:highlight w:val="none"/>
          <w:lang w:val="en-US" w:eastAsia="zh-CN"/>
        </w:rPr>
        <w:t>699</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结算补助收入145921万元，</w:t>
      </w:r>
      <w:r>
        <w:rPr>
          <w:rFonts w:hint="eastAsia" w:ascii="Times New Roman" w:hAnsi="Times New Roman" w:eastAsia="仿宋_GB2312" w:cs="仿宋_GB2312"/>
          <w:color w:val="auto"/>
          <w:kern w:val="0"/>
          <w:sz w:val="32"/>
          <w:szCs w:val="32"/>
          <w:highlight w:val="none"/>
        </w:rPr>
        <w:t>其他一般性转移支付</w:t>
      </w:r>
      <w:r>
        <w:rPr>
          <w:rFonts w:hint="eastAsia" w:ascii="Times New Roman" w:hAnsi="Times New Roman" w:eastAsia="仿宋_GB2312" w:cs="仿宋_GB2312"/>
          <w:color w:val="auto"/>
          <w:kern w:val="0"/>
          <w:sz w:val="32"/>
          <w:szCs w:val="32"/>
          <w:highlight w:val="none"/>
          <w:lang w:val="en-US" w:eastAsia="zh-CN"/>
        </w:rPr>
        <w:t>354</w:t>
      </w:r>
      <w:r>
        <w:rPr>
          <w:rFonts w:hint="eastAsia" w:ascii="Times New Roman" w:hAnsi="Times New Roman" w:eastAsia="仿宋_GB2312" w:cs="仿宋_GB2312"/>
          <w:color w:val="auto"/>
          <w:kern w:val="0"/>
          <w:sz w:val="32"/>
          <w:szCs w:val="32"/>
          <w:highlight w:val="none"/>
        </w:rPr>
        <w:t>万元，公共安全共同财政事权转移支付收入</w:t>
      </w:r>
      <w:r>
        <w:rPr>
          <w:rFonts w:hint="eastAsia" w:ascii="Times New Roman" w:hAnsi="Times New Roman" w:eastAsia="仿宋_GB2312" w:cs="仿宋_GB2312"/>
          <w:color w:val="auto"/>
          <w:kern w:val="0"/>
          <w:sz w:val="32"/>
          <w:szCs w:val="32"/>
          <w:highlight w:val="none"/>
          <w:lang w:val="en-US" w:eastAsia="zh-CN"/>
        </w:rPr>
        <w:t>1073万元，医疗卫生共同财政事权转移支付24840万元，社会保障和就业共同财政事权转移支付收入10844万元，教育共同财政事权转移支付收入11031万元，交通运输共同财政事权转移支付收入5851万元，节能环保共同事权转移支付收入299万元，农林水共同财政事权转移支付收入12385万元，文化旅游体育与传媒共同财政事权转移支付收入485万元</w:t>
      </w:r>
      <w:r>
        <w:rPr>
          <w:rFonts w:hint="eastAsia" w:ascii="Times New Roman" w:hAnsi="Times New Roman"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专项转移支付收入</w:t>
      </w:r>
      <w:r>
        <w:rPr>
          <w:rFonts w:hint="eastAsia" w:ascii="Times New Roman" w:hAnsi="Times New Roman" w:eastAsia="仿宋_GB2312" w:cs="仿宋_GB2312"/>
          <w:color w:val="auto"/>
          <w:kern w:val="0"/>
          <w:sz w:val="32"/>
          <w:szCs w:val="32"/>
          <w:highlight w:val="none"/>
          <w:lang w:val="en-US" w:eastAsia="zh-CN"/>
        </w:rPr>
        <w:t>9655</w:t>
      </w:r>
      <w:r>
        <w:rPr>
          <w:rFonts w:hint="eastAsia" w:ascii="Times New Roman" w:hAnsi="Times New Roman" w:eastAsia="仿宋_GB2312" w:cs="仿宋_GB2312"/>
          <w:color w:val="auto"/>
          <w:kern w:val="0"/>
          <w:sz w:val="32"/>
          <w:szCs w:val="32"/>
          <w:highlight w:val="none"/>
        </w:rPr>
        <w:t>万元。其中：一般公共服务</w:t>
      </w:r>
      <w:r>
        <w:rPr>
          <w:rFonts w:hint="eastAsia" w:ascii="Times New Roman" w:hAnsi="Times New Roman" w:eastAsia="仿宋_GB2312" w:cs="仿宋_GB2312"/>
          <w:color w:val="auto"/>
          <w:kern w:val="0"/>
          <w:sz w:val="32"/>
          <w:szCs w:val="32"/>
          <w:highlight w:val="none"/>
          <w:lang w:val="en-US" w:eastAsia="zh-CN"/>
        </w:rPr>
        <w:t>42</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科学技术支出</w:t>
      </w:r>
      <w:r>
        <w:rPr>
          <w:rFonts w:hint="eastAsia" w:ascii="Times New Roman" w:hAnsi="Times New Roman" w:eastAsia="仿宋_GB2312" w:cs="仿宋_GB2312"/>
          <w:color w:val="auto"/>
          <w:kern w:val="0"/>
          <w:sz w:val="32"/>
          <w:szCs w:val="32"/>
          <w:highlight w:val="none"/>
          <w:lang w:val="en-US" w:eastAsia="zh-CN"/>
        </w:rPr>
        <w:t>491</w:t>
      </w:r>
      <w:r>
        <w:rPr>
          <w:rFonts w:hint="eastAsia" w:ascii="Times New Roman" w:hAnsi="Times New Roman" w:eastAsia="仿宋_GB2312" w:cs="仿宋_GB2312"/>
          <w:color w:val="auto"/>
          <w:kern w:val="0"/>
          <w:sz w:val="32"/>
          <w:szCs w:val="32"/>
          <w:highlight w:val="none"/>
        </w:rPr>
        <w:t>万元，卫生健康支出</w:t>
      </w:r>
      <w:r>
        <w:rPr>
          <w:rFonts w:hint="eastAsia" w:ascii="Times New Roman" w:hAnsi="Times New Roman" w:eastAsia="仿宋_GB2312" w:cs="仿宋_GB2312"/>
          <w:color w:val="auto"/>
          <w:kern w:val="0"/>
          <w:sz w:val="32"/>
          <w:szCs w:val="32"/>
          <w:highlight w:val="none"/>
          <w:lang w:val="en-US" w:eastAsia="zh-CN"/>
        </w:rPr>
        <w:t>460万元，</w:t>
      </w:r>
      <w:r>
        <w:rPr>
          <w:rFonts w:hint="eastAsia" w:ascii="Times New Roman" w:hAnsi="Times New Roman" w:eastAsia="仿宋_GB2312" w:cs="仿宋_GB2312"/>
          <w:color w:val="auto"/>
          <w:kern w:val="0"/>
          <w:sz w:val="32"/>
          <w:szCs w:val="32"/>
          <w:highlight w:val="none"/>
          <w:lang w:eastAsia="zh-CN"/>
        </w:rPr>
        <w:t>节能环保类</w:t>
      </w:r>
      <w:r>
        <w:rPr>
          <w:rFonts w:hint="eastAsia" w:ascii="Times New Roman" w:hAnsi="Times New Roman" w:eastAsia="仿宋_GB2312" w:cs="仿宋_GB2312"/>
          <w:color w:val="auto"/>
          <w:kern w:val="0"/>
          <w:sz w:val="32"/>
          <w:szCs w:val="32"/>
          <w:highlight w:val="none"/>
          <w:lang w:val="en-US" w:eastAsia="zh-CN"/>
        </w:rPr>
        <w:t>7898万元，</w:t>
      </w:r>
      <w:r>
        <w:rPr>
          <w:rFonts w:hint="eastAsia" w:ascii="Times New Roman" w:hAnsi="Times New Roman" w:eastAsia="仿宋_GB2312" w:cs="仿宋_GB2312"/>
          <w:color w:val="auto"/>
          <w:kern w:val="0"/>
          <w:sz w:val="32"/>
          <w:szCs w:val="32"/>
          <w:highlight w:val="none"/>
        </w:rPr>
        <w:t>农林水事务</w:t>
      </w:r>
      <w:r>
        <w:rPr>
          <w:rFonts w:hint="eastAsia" w:ascii="Times New Roman" w:hAnsi="Times New Roman" w:eastAsia="仿宋_GB2312" w:cs="仿宋_GB2312"/>
          <w:color w:val="auto"/>
          <w:kern w:val="0"/>
          <w:sz w:val="32"/>
          <w:szCs w:val="32"/>
          <w:highlight w:val="none"/>
          <w:lang w:eastAsia="zh-CN"/>
        </w:rPr>
        <w:t>支出</w:t>
      </w:r>
      <w:r>
        <w:rPr>
          <w:rFonts w:hint="eastAsia" w:ascii="Times New Roman" w:hAnsi="Times New Roman" w:eastAsia="仿宋_GB2312" w:cs="仿宋_GB2312"/>
          <w:color w:val="auto"/>
          <w:kern w:val="0"/>
          <w:sz w:val="32"/>
          <w:szCs w:val="32"/>
          <w:highlight w:val="none"/>
          <w:lang w:val="en-US" w:eastAsia="zh-CN"/>
        </w:rPr>
        <w:t>764</w:t>
      </w:r>
      <w:r>
        <w:rPr>
          <w:rFonts w:hint="eastAsia" w:ascii="Times New Roman" w:hAnsi="Times New Roman" w:eastAsia="仿宋_GB2312" w:cs="仿宋_GB2312"/>
          <w:color w:val="auto"/>
          <w:kern w:val="0"/>
          <w:sz w:val="32"/>
          <w:szCs w:val="32"/>
          <w:highlight w:val="none"/>
        </w:rPr>
        <w:t>万元。</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三、镇级上解收入</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主要是根据现行市与镇级财政体制算账，镇级财政应上解市财政的原体制上解、下划收入基数和增量分成等。</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四、上年</w:t>
      </w:r>
      <w:r>
        <w:rPr>
          <w:rFonts w:hint="eastAsia" w:ascii="Times New Roman" w:hAnsi="Times New Roman" w:eastAsia="黑体" w:cs="黑体"/>
          <w:color w:val="auto"/>
          <w:kern w:val="0"/>
          <w:sz w:val="32"/>
          <w:szCs w:val="32"/>
          <w:highlight w:val="none"/>
          <w:lang w:eastAsia="zh-CN"/>
        </w:rPr>
        <w:t>结转</w:t>
      </w:r>
      <w:r>
        <w:rPr>
          <w:rFonts w:hint="eastAsia" w:ascii="Times New Roman" w:hAnsi="Times New Roman" w:eastAsia="黑体" w:cs="黑体"/>
          <w:color w:val="auto"/>
          <w:kern w:val="0"/>
          <w:sz w:val="32"/>
          <w:szCs w:val="32"/>
          <w:highlight w:val="none"/>
        </w:rPr>
        <w:t>结余收入</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上年</w:t>
      </w:r>
      <w:r>
        <w:rPr>
          <w:rFonts w:hint="eastAsia" w:ascii="Times New Roman" w:hAnsi="Times New Roman" w:eastAsia="仿宋_GB2312" w:cs="仿宋_GB2312"/>
          <w:color w:val="auto"/>
          <w:kern w:val="0"/>
          <w:sz w:val="32"/>
          <w:szCs w:val="32"/>
          <w:highlight w:val="none"/>
          <w:lang w:eastAsia="zh-CN"/>
        </w:rPr>
        <w:t>结转</w:t>
      </w:r>
      <w:r>
        <w:rPr>
          <w:rFonts w:hint="eastAsia" w:ascii="Times New Roman" w:hAnsi="Times New Roman" w:eastAsia="仿宋_GB2312" w:cs="仿宋_GB2312"/>
          <w:color w:val="auto"/>
          <w:kern w:val="0"/>
          <w:sz w:val="32"/>
          <w:szCs w:val="32"/>
          <w:highlight w:val="none"/>
        </w:rPr>
        <w:t>结余项目</w:t>
      </w:r>
      <w:r>
        <w:rPr>
          <w:rFonts w:hint="eastAsia" w:ascii="Times New Roman" w:hAnsi="Times New Roman" w:eastAsia="仿宋_GB2312" w:cs="仿宋_GB2312"/>
          <w:color w:val="auto"/>
          <w:kern w:val="0"/>
          <w:sz w:val="32"/>
          <w:szCs w:val="32"/>
          <w:highlight w:val="none"/>
          <w:lang w:val="en-US" w:eastAsia="zh-CN"/>
        </w:rPr>
        <w:t>29351</w:t>
      </w:r>
      <w:r>
        <w:rPr>
          <w:rFonts w:hint="eastAsia" w:ascii="Times New Roman" w:hAnsi="Times New Roman" w:eastAsia="仿宋_GB2312" w:cs="仿宋_GB2312"/>
          <w:color w:val="auto"/>
          <w:kern w:val="0"/>
          <w:sz w:val="32"/>
          <w:szCs w:val="32"/>
          <w:highlight w:val="none"/>
        </w:rPr>
        <w:t>万元</w:t>
      </w:r>
      <w:r>
        <w:rPr>
          <w:rFonts w:hint="eastAsia" w:ascii="Times New Roman" w:hAnsi="Times New Roman" w:eastAsia="仿宋_GB2312" w:cs="仿宋_GB2312"/>
          <w:color w:val="auto"/>
          <w:kern w:val="0"/>
          <w:sz w:val="32"/>
          <w:szCs w:val="32"/>
          <w:highlight w:val="none"/>
          <w:lang w:eastAsia="zh-CN"/>
        </w:rPr>
        <w:t>，其中公共安全支出</w:t>
      </w:r>
      <w:r>
        <w:rPr>
          <w:rFonts w:hint="eastAsia" w:ascii="Times New Roman" w:hAnsi="Times New Roman" w:eastAsia="仿宋_GB2312" w:cs="仿宋_GB2312"/>
          <w:color w:val="auto"/>
          <w:kern w:val="0"/>
          <w:sz w:val="32"/>
          <w:szCs w:val="32"/>
          <w:highlight w:val="none"/>
          <w:lang w:val="en-US" w:eastAsia="zh-CN"/>
        </w:rPr>
        <w:t>462万元，教育支出3655万元，科学技术支出2529万元，社会保障就业支出39万元，卫生健康支出273万元，节能环保支出7514万元，农林水支出7981万元，交通运输支出427万元，自然资源海洋气象等支出10万元，灾害防治及应急管理支出6461万元。</w:t>
      </w: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年市级一般公共预算支出总表</w:t>
      </w:r>
    </w:p>
    <w:p>
      <w:pPr>
        <w:widowControl w:val="0"/>
        <w:wordWrap/>
        <w:spacing w:line="600" w:lineRule="exact"/>
        <w:ind w:left="0" w:right="-502" w:rightChars="-239"/>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36"/>
        <w:gridCol w:w="843"/>
        <w:gridCol w:w="843"/>
        <w:gridCol w:w="843"/>
        <w:gridCol w:w="843"/>
        <w:gridCol w:w="843"/>
        <w:gridCol w:w="843"/>
        <w:gridCol w:w="843"/>
        <w:gridCol w:w="843"/>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blHeader/>
          <w:jc w:val="center"/>
        </w:trPr>
        <w:tc>
          <w:tcPr>
            <w:tcW w:w="12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科 目</w:t>
            </w:r>
          </w:p>
        </w:tc>
        <w:tc>
          <w:tcPr>
            <w:tcW w:w="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市级合计</w:t>
            </w:r>
          </w:p>
        </w:tc>
        <w:tc>
          <w:tcPr>
            <w:tcW w:w="45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auto"/>
                <w:kern w:val="0"/>
                <w:sz w:val="24"/>
                <w:szCs w:val="24"/>
                <w:highlight w:val="none"/>
                <w:u w:val="none"/>
                <w:lang w:val="en-US" w:eastAsia="zh-CN"/>
              </w:rPr>
            </w:pPr>
          </w:p>
          <w:p>
            <w:pPr>
              <w:widowControl/>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本级财力</w:t>
            </w:r>
            <w:r>
              <w:rPr>
                <w:rFonts w:hint="eastAsia" w:ascii="黑体" w:hAnsi="宋体" w:eastAsia="黑体" w:cs="黑体"/>
                <w:i w:val="0"/>
                <w:color w:val="auto"/>
                <w:kern w:val="0"/>
                <w:sz w:val="24"/>
                <w:szCs w:val="24"/>
                <w:highlight w:val="none"/>
                <w:u w:val="none"/>
                <w:lang w:val="en-US" w:eastAsia="zh-CN"/>
              </w:rPr>
              <w:br w:type="textWrapping"/>
            </w:r>
          </w:p>
        </w:tc>
        <w:tc>
          <w:tcPr>
            <w:tcW w:w="45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专项转移支付</w:t>
            </w:r>
          </w:p>
        </w:tc>
        <w:tc>
          <w:tcPr>
            <w:tcW w:w="45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sz w:val="24"/>
                <w:szCs w:val="24"/>
                <w:highlight w:val="none"/>
                <w:u w:val="none"/>
              </w:rPr>
              <w:t>一般债务安排支出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blHeader/>
          <w:jc w:val="center"/>
        </w:trPr>
        <w:tc>
          <w:tcPr>
            <w:tcW w:w="12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小计</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当年</w:t>
            </w:r>
          </w:p>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财力</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一般性转移支付</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上年结转结余</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调入</w:t>
            </w:r>
          </w:p>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资金</w:t>
            </w:r>
          </w:p>
        </w:tc>
        <w:tc>
          <w:tcPr>
            <w:tcW w:w="454"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动用预算稳定调节基金</w:t>
            </w:r>
          </w:p>
        </w:tc>
        <w:tc>
          <w:tcPr>
            <w:tcW w:w="45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5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合  计</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590760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568690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415224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74561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29351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42935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6619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9655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一般公共服务支出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55098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49543</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47375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2142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国防支出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2442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1142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1122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公共安全支出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28389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28389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26854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1073</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462</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教育支出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155866</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155866</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135490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16174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3655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547</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科学技术支出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5271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4780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2131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2529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491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文化旅游体育与传媒支出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8014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8014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7215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社会保障和就业支出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80033</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80033</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53044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10926</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16024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卫生健康支出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61451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60991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32384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24841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273</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3018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节能环保支出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28947</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21049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13236</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7514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7898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城乡社区支出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9578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9078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9078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农林水支出</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62921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59657</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36498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15178</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7981</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764</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r>
    </w:tbl>
    <w:p>
      <w:pPr>
        <w:widowControl w:val="0"/>
        <w:wordWrap/>
        <w:spacing w:line="600" w:lineRule="exact"/>
        <w:ind w:left="0"/>
        <w:jc w:val="both"/>
        <w:textAlignment w:val="auto"/>
        <w:outlineLvl w:val="9"/>
        <w:rPr>
          <w:rFonts w:hint="eastAsia" w:ascii="宋体" w:hAnsi="宋体" w:eastAsia="黑体" w:cs="黑体"/>
          <w:color w:val="auto"/>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640" w:lineRule="atLeast"/>
        <w:jc w:val="both"/>
        <w:textAlignment w:val="auto"/>
        <w:outlineLvl w:val="9"/>
        <w:rPr>
          <w:rFonts w:hint="eastAsia" w:ascii="Times New Roman" w:hAnsi="Times New Roman" w:eastAsia="黑体" w:cs="黑体"/>
          <w:color w:val="auto"/>
          <w:spacing w:val="23"/>
          <w:sz w:val="28"/>
          <w:szCs w:val="28"/>
          <w:highlight w:val="none"/>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年市级一般公共预算支出总表</w:t>
      </w:r>
    </w:p>
    <w:p>
      <w:pPr>
        <w:widowControl w:val="0"/>
        <w:wordWrap/>
        <w:spacing w:line="600" w:lineRule="exact"/>
        <w:ind w:left="0" w:right="-502" w:rightChars="-239"/>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5"/>
        <w:gridCol w:w="829"/>
        <w:gridCol w:w="829"/>
        <w:gridCol w:w="829"/>
        <w:gridCol w:w="830"/>
        <w:gridCol w:w="830"/>
        <w:gridCol w:w="830"/>
        <w:gridCol w:w="830"/>
        <w:gridCol w:w="83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blHeader/>
          <w:jc w:val="center"/>
        </w:trPr>
        <w:tc>
          <w:tcPr>
            <w:tcW w:w="12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科 目</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市级合计</w:t>
            </w:r>
          </w:p>
        </w:tc>
        <w:tc>
          <w:tcPr>
            <w:tcW w:w="4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auto"/>
                <w:kern w:val="0"/>
                <w:sz w:val="24"/>
                <w:szCs w:val="24"/>
                <w:highlight w:val="none"/>
                <w:u w:val="none"/>
                <w:lang w:val="en-US" w:eastAsia="zh-CN"/>
              </w:rPr>
            </w:pPr>
          </w:p>
          <w:p>
            <w:pPr>
              <w:widowControl/>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本级财力</w:t>
            </w:r>
            <w:r>
              <w:rPr>
                <w:rFonts w:hint="eastAsia" w:ascii="黑体" w:hAnsi="宋体" w:eastAsia="黑体" w:cs="黑体"/>
                <w:i w:val="0"/>
                <w:color w:val="auto"/>
                <w:kern w:val="0"/>
                <w:sz w:val="24"/>
                <w:szCs w:val="24"/>
                <w:highlight w:val="none"/>
                <w:u w:val="none"/>
                <w:lang w:val="en-US" w:eastAsia="zh-CN"/>
              </w:rPr>
              <w:br w:type="textWrapping"/>
            </w:r>
          </w:p>
        </w:tc>
        <w:tc>
          <w:tcPr>
            <w:tcW w:w="4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rPr>
              <w:t>专项转移支付</w:t>
            </w:r>
          </w:p>
        </w:tc>
        <w:tc>
          <w:tcPr>
            <w:tcW w:w="4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sz w:val="24"/>
                <w:szCs w:val="24"/>
                <w:highlight w:val="none"/>
                <w:u w:val="none"/>
              </w:rPr>
              <w:t>一般债务安排支出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blHeader/>
          <w:jc w:val="center"/>
        </w:trPr>
        <w:tc>
          <w:tcPr>
            <w:tcW w:w="12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小计</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当年</w:t>
            </w:r>
          </w:p>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财力</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一般性转移支付</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上年结转结余</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调入</w:t>
            </w:r>
          </w:p>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资金</w:t>
            </w:r>
          </w:p>
        </w:tc>
        <w:tc>
          <w:tcPr>
            <w:tcW w:w="425" w:type="dxa"/>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auto"/>
                <w:kern w:val="0"/>
                <w:sz w:val="24"/>
                <w:szCs w:val="24"/>
                <w:highlight w:val="none"/>
                <w:u w:val="none"/>
                <w:lang w:val="en-US" w:eastAsia="zh-CN"/>
              </w:rPr>
            </w:pPr>
            <w:r>
              <w:rPr>
                <w:rFonts w:hint="eastAsia" w:ascii="黑体" w:hAnsi="宋体" w:eastAsia="黑体" w:cs="黑体"/>
                <w:i w:val="0"/>
                <w:color w:val="auto"/>
                <w:kern w:val="0"/>
                <w:sz w:val="24"/>
                <w:szCs w:val="24"/>
                <w:highlight w:val="none"/>
                <w:u w:val="none"/>
                <w:lang w:val="en-US" w:eastAsia="zh-CN"/>
              </w:rPr>
              <w:t>动用预算稳定调节基金</w:t>
            </w:r>
          </w:p>
        </w:tc>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黑体" w:cs="黑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交通运输支出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19047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16445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10859</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5159</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2"/>
                <w:sz w:val="24"/>
                <w:szCs w:val="24"/>
                <w:u w:val="none"/>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资源勘探工业信息等支出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1680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1680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1680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商业服务业等支出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1962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1962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1962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金融支出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援助其他地区支出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自然资源海洋气象等支出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4075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4075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3915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住房保障支出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18227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18227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15377</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2850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粮油物资储备支出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715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715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715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灾害防治及应急管理支出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11863</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11863</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5402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6461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预备费</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债务付息支出</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24294</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24294</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24294</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highlight w:val="none"/>
                <w:u w:val="none"/>
                <w:lang w:val="en-US" w:eastAsia="zh-CN" w:bidi="ar"/>
              </w:rPr>
            </w:pPr>
          </w:p>
        </w:tc>
      </w:tr>
    </w:tbl>
    <w:p>
      <w:pPr>
        <w:widowControl w:val="0"/>
        <w:wordWrap/>
        <w:spacing w:line="600" w:lineRule="exact"/>
        <w:ind w:lef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widowControl w:val="0"/>
        <w:wordWrap/>
        <w:spacing w:line="600" w:lineRule="exact"/>
        <w:ind w:left="0"/>
        <w:jc w:val="both"/>
        <w:textAlignment w:val="auto"/>
        <w:outlineLvl w:val="9"/>
        <w:rPr>
          <w:rFonts w:hint="eastAsia" w:ascii="黑体" w:hAnsi="黑体" w:eastAsia="黑体" w:cs="黑体"/>
          <w:color w:val="auto"/>
          <w:sz w:val="28"/>
          <w:szCs w:val="28"/>
          <w:highlight w:val="none"/>
          <w:lang w:eastAsia="zh-CN"/>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年市级一般公共预算支出表</w:t>
      </w:r>
    </w:p>
    <w:p>
      <w:pPr>
        <w:widowControl w:val="0"/>
        <w:wordWrap/>
        <w:spacing w:line="600" w:lineRule="exact"/>
        <w:ind w:left="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7"/>
        <w:gridCol w:w="1650"/>
        <w:gridCol w:w="1635"/>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2021年</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auto"/>
                <w:sz w:val="24"/>
                <w:szCs w:val="24"/>
                <w:highlight w:val="none"/>
                <w:u w:val="none"/>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本级财力安排支出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一、本级支出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519849</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568690</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一般公共服务支出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42537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49543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国防支出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787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1142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公共安全支出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24780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28389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教育支出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146318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155866</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科学技术支出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3929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4780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文化旅游体育与传媒支出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7857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8014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社会保障和就业支出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78082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80033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卫生健康支出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58480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60991</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节能环保支出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9774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21049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城乡社区支出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14898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9078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农林水支出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51710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59657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交通运输支出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19963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16445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资源勘探信息等支出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1406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1680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商业服务业等支出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1675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1962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金融支出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援助其他地区支出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自然资源海洋气象等支出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4395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4075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住房保障支出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18002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18227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101.2 </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overflowPunct w:val="0"/>
        <w:autoSpaceDE w:val="0"/>
        <w:autoSpaceDN w:val="0"/>
        <w:adjustRightInd w:val="0"/>
        <w:snapToGrid w:val="0"/>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年市级一般公共预算支出表</w:t>
      </w:r>
    </w:p>
    <w:p>
      <w:pPr>
        <w:widowControl w:val="0"/>
        <w:wordWrap/>
        <w:spacing w:line="600" w:lineRule="exact"/>
        <w:ind w:left="0"/>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7"/>
        <w:gridCol w:w="1650"/>
        <w:gridCol w:w="1635"/>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2021年</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执行数</w:t>
            </w:r>
          </w:p>
        </w:tc>
        <w:tc>
          <w:tcPr>
            <w:tcW w:w="294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auto"/>
                <w:sz w:val="24"/>
                <w:szCs w:val="24"/>
                <w:highlight w:val="none"/>
                <w:u w:val="none"/>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val="0"/>
              <w:wordWrap/>
              <w:spacing w:after="0"/>
              <w:ind w:left="0"/>
              <w:jc w:val="center"/>
              <w:rPr>
                <w:rFonts w:hint="eastAsia" w:ascii="宋体" w:hAnsi="宋体" w:eastAsia="黑体" w:cs="黑体"/>
                <w:i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本年财力安排支出</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预算数为上年执行数%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粮油物资储备支出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985</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715</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灾害防治及应急管理支出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10947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11863</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预备费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0"/>
                <w:szCs w:val="20"/>
                <w:highlight w:val="none"/>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债务付息支出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22438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24294</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二、上解上级支出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82982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235829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体制上解支出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9952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9952</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出口退税专项上解支出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2120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70910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223757</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三、省提前通知转移支付安排支出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22984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9655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四、上级补助收入增量安排支出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33267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iCs w:val="0"/>
                <w:color w:val="auto"/>
                <w:kern w:val="0"/>
                <w:sz w:val="20"/>
                <w:szCs w:val="20"/>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五、补助镇级支出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49851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33049</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六、安排预算稳定调节基金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6619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000000"/>
                <w:kern w:val="0"/>
                <w:sz w:val="24"/>
                <w:szCs w:val="24"/>
                <w:u w:val="none"/>
                <w:lang w:val="en-US" w:eastAsia="zh-CN" w:bidi="ar"/>
              </w:rPr>
              <w:t>七</w:t>
            </w:r>
            <w:r>
              <w:rPr>
                <w:rFonts w:hint="eastAsia" w:ascii="宋体" w:hAnsi="宋体" w:eastAsia="宋体" w:cs="宋体"/>
                <w:i w:val="0"/>
                <w:iCs w:val="0"/>
                <w:color w:val="000000"/>
                <w:kern w:val="0"/>
                <w:sz w:val="24"/>
                <w:szCs w:val="24"/>
                <w:u w:val="none"/>
                <w:lang w:val="en-US" w:eastAsia="zh-CN" w:bidi="ar"/>
              </w:rPr>
              <w:t>、一般债务还本支出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74384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000000"/>
                <w:kern w:val="0"/>
                <w:sz w:val="24"/>
                <w:szCs w:val="24"/>
                <w:u w:val="none"/>
                <w:lang w:val="en-US" w:eastAsia="zh-CN" w:bidi="ar"/>
              </w:rPr>
              <w:t>八</w:t>
            </w:r>
            <w:r>
              <w:rPr>
                <w:rFonts w:hint="eastAsia" w:ascii="宋体" w:hAnsi="宋体" w:eastAsia="宋体" w:cs="宋体"/>
                <w:i w:val="0"/>
                <w:iCs w:val="0"/>
                <w:color w:val="000000"/>
                <w:kern w:val="0"/>
                <w:sz w:val="24"/>
                <w:szCs w:val="24"/>
                <w:u w:val="none"/>
                <w:lang w:val="en-US" w:eastAsia="zh-CN" w:bidi="ar"/>
              </w:rPr>
              <w:t>、一般债务转贷收入安排的支出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15000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12415</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000000"/>
                <w:kern w:val="0"/>
                <w:sz w:val="24"/>
                <w:szCs w:val="24"/>
                <w:u w:val="none"/>
                <w:lang w:val="en-US" w:eastAsia="zh-CN" w:bidi="ar"/>
              </w:rPr>
              <w:t>九</w:t>
            </w:r>
            <w:r>
              <w:rPr>
                <w:rFonts w:hint="eastAsia" w:ascii="宋体" w:hAnsi="宋体" w:eastAsia="宋体" w:cs="宋体"/>
                <w:i w:val="0"/>
                <w:iCs w:val="0"/>
                <w:color w:val="000000"/>
                <w:kern w:val="0"/>
                <w:sz w:val="24"/>
                <w:szCs w:val="24"/>
                <w:u w:val="none"/>
                <w:lang w:val="en-US" w:eastAsia="zh-CN" w:bidi="ar"/>
              </w:rPr>
              <w:t>、预计结转结余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29351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18"/>
                <w:szCs w:val="18"/>
                <w:highlight w:val="none"/>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834287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859858</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103.1 </w:t>
            </w:r>
          </w:p>
        </w:tc>
      </w:tr>
    </w:tbl>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rPr>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rPr>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rPr>
        <w:br w:type="page"/>
      </w:r>
      <w:r>
        <w:rPr>
          <w:rFonts w:hint="eastAsia" w:ascii="方正小标宋简体" w:hAnsi="方正小标宋简体" w:eastAsia="方正小标宋简体" w:cs="方正小标宋简体"/>
          <w:b w:val="0"/>
          <w:bCs/>
          <w:color w:val="auto"/>
          <w:kern w:val="0"/>
          <w:sz w:val="44"/>
          <w:szCs w:val="44"/>
          <w:highlight w:val="none"/>
        </w:rPr>
        <w:t>关于20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val="en-US" w:eastAsia="zh-CN"/>
        </w:rPr>
        <w:t>市级一般公共预算支出</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情况的说明</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2022年市级一般公共预算支出总计859858万元，其中：市本级支出568690万元，上解上级支出235829万元，省提前通知转移支付安排支出9655万元，补助镇级支出33049万元。市级支出主要项目情况：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一、市级支出主要项目情况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市级支出568690万元，比2021年执行数增加48841万元，增长9.4%，主要支出科目情况是：</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1.一般公共服务支出49543万元，增加7006万元，增长16.5%。</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2.国防支出1142万元，增加355万元，增长45.1%。</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3.公共安全支出28389万元，增加3609万元，增长15%。</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4.教育支出155866万元，增加9548万元，增长6.5%。</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5.科学技术支出4780万元，增加851万元，增长21.7%。</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6.文化旅游体育与传媒支出8014万元，增加157万元，增长2%。</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7.社会保障和就业支出80033万元，增加1951万元，增长2.5%。</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8.卫生健康支出60991万元，增加2511万元，增长4.3%。</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9.节能环保支出21049万元，增加11275万元，增加1.2倍。</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10.城乡社区支出9078万元，减少5820万元。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11.农林水支出59657万元，增加7947万元，增长15.4%。</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12.交通运输支出16445万元，减少3518万元。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13.资源勘探信息等支出1680万元，增加274万元，增长19.5%。</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14.商业服务业等支出1962万元，增加287万元，增长17.1%。</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15.援助其他地区支出767万元，与上年持平。</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16.自然资源海洋气象等支出4075万元，减少320万元。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17.住房保障支出18227万元，增加225万元，增长1.2%。</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18.粮油物资储备支出715万元，减少270万元。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19.灾害防治及应急管理支出11863万元，增加916万元，增长8%。</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20.预备费支出1亿元。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21.债务付息支出24294万元，增加1856万元，增长8.3%。</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二、上解上级支出</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上解上级支出235829万元，包括原体制基数上解、出口退税专项上解和新体制上解三部分。其中：体制上解支出9952万元，出口退税专项上解支出2120万元，以及根据《深化省与市县财政体制改革基数核定划转办法》上解支出223757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三、市对镇级补助</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市对镇级补助33049万元，包括返还性补助、一般性转移支付补助和专项转移支付补助，其中：返还性补助项目分为消费税和增值税税收返还所得税基数返还。</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四、预算执行情况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在市人大批准市级预算草案前，财政金融局按照《中华人民共和国预算法》规定，参照上一年同期预算支出数额安排1—5月份支出，用于必须支付的基本支出和项目支出，包括：人员和惠民补贴支出，运转支出和部分项目等支出。</w:t>
      </w:r>
    </w:p>
    <w:p>
      <w:pPr>
        <w:widowControl w:val="0"/>
        <w:wordWrap/>
        <w:adjustRightInd w:val="0"/>
        <w:snapToGrid w:val="0"/>
        <w:spacing w:line="600" w:lineRule="exact"/>
        <w:ind w:left="0" w:leftChars="0"/>
        <w:jc w:val="both"/>
        <w:textAlignment w:val="auto"/>
        <w:outlineLvl w:val="9"/>
        <w:rPr>
          <w:rFonts w:hint="eastAsia" w:ascii="宋体" w:hAnsi="宋体"/>
          <w:color w:val="auto"/>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ascii="Times New Roman" w:hAnsi="Times New Roman" w:eastAsia="黑体" w:cs="黑体"/>
          <w:color w:val="auto"/>
          <w:sz w:val="32"/>
          <w:szCs w:val="30"/>
          <w:highlight w:val="none"/>
          <w:lang w:eastAsia="zh-CN"/>
        </w:rPr>
      </w:pPr>
    </w:p>
    <w:p>
      <w:pPr>
        <w:rPr>
          <w:rFonts w:hint="eastAsia" w:ascii="Times New Roman" w:hAnsi="Times New Roman" w:eastAsia="黑体" w:cs="黑体"/>
          <w:color w:val="auto"/>
          <w:sz w:val="32"/>
          <w:szCs w:val="30"/>
          <w:highlight w:val="none"/>
          <w:lang w:eastAsia="zh-CN"/>
        </w:rPr>
      </w:pPr>
    </w:p>
    <w:p>
      <w:pPr>
        <w:pStyle w:val="2"/>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  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000000"/>
                <w:kern w:val="0"/>
                <w:sz w:val="24"/>
                <w:szCs w:val="24"/>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 xml:space="preserve">415224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263489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000000"/>
                <w:kern w:val="0"/>
                <w:sz w:val="24"/>
                <w:szCs w:val="24"/>
                <w:u w:val="none"/>
                <w:lang w:val="en-US" w:eastAsia="zh-CN" w:bidi="ar"/>
              </w:rPr>
              <w:t xml:space="preserve">151735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47375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29842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1569</w:t>
            </w:r>
            <w:r>
              <w:rPr>
                <w:rFonts w:hint="eastAsia" w:ascii="宋体" w:hAnsi="宋体" w:eastAsia="宋体" w:cs="宋体"/>
                <w:i w:val="0"/>
                <w:color w:val="000000"/>
                <w:kern w:val="0"/>
                <w:sz w:val="24"/>
                <w:szCs w:val="24"/>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610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人大代表履职能力提升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其他人大事务支出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政协会议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委员视察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其他政协事务支出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9660</w:t>
            </w:r>
            <w:r>
              <w:rPr>
                <w:rFonts w:hint="eastAsia" w:ascii="宋体" w:hAnsi="宋体" w:eastAsia="宋体" w:cs="宋体"/>
                <w:i w:val="0"/>
                <w:color w:val="000000"/>
                <w:kern w:val="0"/>
                <w:sz w:val="24"/>
                <w:szCs w:val="24"/>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3989</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4410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4410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1126</w:t>
            </w:r>
            <w:r>
              <w:rPr>
                <w:rFonts w:hint="eastAsia" w:ascii="宋体" w:hAnsi="宋体" w:eastAsia="宋体" w:cs="宋体"/>
                <w:i w:val="0"/>
                <w:color w:val="000000"/>
                <w:kern w:val="0"/>
                <w:sz w:val="24"/>
                <w:szCs w:val="24"/>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000000"/>
                <w:kern w:val="0"/>
                <w:sz w:val="24"/>
                <w:szCs w:val="24"/>
                <w:u w:val="none"/>
                <w:lang w:val="en-US" w:eastAsia="zh-CN" w:bidi="ar"/>
              </w:rPr>
              <w:t>1126</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专项业务及机关事务管理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政务公开审批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发展与改革事务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物价管理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其他发展与改革事务支出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统计信息事务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统计抽样调查</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其他统计信息事务支出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财政国库业务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其他财政事务支出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税收事务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其他税收事务支出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审计事务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审计业务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其他审计事务支出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2579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大案要案查处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巡视工作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156 </w:t>
            </w:r>
          </w:p>
        </w:tc>
      </w:tr>
    </w:tbl>
    <w:p>
      <w:pPr>
        <w:rPr>
          <w:rFonts w:hint="eastAsia" w:ascii="宋体" w:hAnsi="宋体"/>
          <w:color w:val="auto"/>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商贸事务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招商引资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其他商贸事务支出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知识产权事务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知识产权宏观管理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民族工作专项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港澳台侨事务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其他港澳台事务支出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档案事务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其他档案事务支出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82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参政议政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其他群众团体事务支出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3995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公务员事务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宣传事务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其他宣传事务支出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统战事务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华侨事务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其他统战事务支出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市场秩序执法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质量基础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药品事务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医疗器械事务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化妆品事务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食品安全监管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26854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16168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135490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116376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教育管理事务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5927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其他教育管理事务支出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2664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普通教育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91049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84974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学前教育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小学教育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30803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29505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初中教育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32886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31971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高中教育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22287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20727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高等教育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其他普通教育支出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17783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17042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中等职业教育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4977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205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技校教育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高等职业教育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12126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成人教育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成人初等教育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特殊教育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特殊学校教育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进修及培训</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教师进修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干部教育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5725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培训支出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城市中小学校舍建设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科学技术管理事务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应用研究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社会公益研究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其他应用研究支出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技术研究与开发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机构运行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科技条件与服务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其他科技条件与服务支出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科普活动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科技馆站</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重点研发计划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7215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图书馆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 </w:t>
            </w:r>
          </w:p>
        </w:tc>
      </w:tr>
    </w:tbl>
    <w:p>
      <w:pPr>
        <w:pStyle w:val="2"/>
        <w:ind w:left="0" w:leftChars="0" w:firstLine="0" w:firstLineChars="0"/>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艺术表演场所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艺术表演团体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文化和旅游市场管理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旅游宣传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文化和旅游管理事务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114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245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文物保护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博物馆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其他体育支出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367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新闻出版电影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其他新闻出版电影支出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广播电视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其他广播电视支出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521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宣传文化发展专项支出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53044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38876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2907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劳动保障监察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就业管理事务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社会保险业务管理事务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劳动关系和维权</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劳动人事争议调解仲裁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32702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32698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12378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离退休人员管理机构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14966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14966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就业创业服务补贴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职业培训补贴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社会保险补贴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职业技能鉴定补贴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伤残抚恤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在乡复员、退伍军人生活补助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义务兵优待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烈士纪念设施管理维护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退役安置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2613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退役士兵安置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351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军队转业干部安置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其他退役安置支出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殡葬</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机关服务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残疾人就业和扶贫</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残疾人生活和护理补贴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红十字事业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最低生活保障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城市最低生活保障金支出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拥军优属</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32384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9469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卫生健康管理事务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294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其他卫生健康管理事务支出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公立医院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2385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综合医院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中医（民族）医院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其他专科医院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其他公立医院支出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基层医疗卫生机构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乡镇卫生院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其他基层医疗卫生机构支出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2726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疾病预防控制机构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卫生监督机构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妇幼保健机构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704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精神卫生机构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采供血机构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基本公共卫生服务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重大公共卫生服务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其他公共卫生支出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中医药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中医（民族医）药专项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其他计划生育事务支出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财政对基本医疗保险基金的补助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5659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财政对城乡居民基本医疗保险基金的补助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5659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城乡医疗救助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优抚对象医疗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优抚对象医疗补助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其他优抚对象医疗支出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r>
    </w:tbl>
    <w:p>
      <w:pPr>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其他医疗保障管理事务支出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13236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环境保护管理事务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1719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生态环境保护宣传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环境保护法规、规划及标准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其他环境保护管理事务支出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环境监测与监察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其他环境监测与监察支出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10354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大气</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737 </w:t>
            </w:r>
          </w:p>
        </w:tc>
      </w:tr>
    </w:tbl>
    <w:p>
      <w:pPr>
        <w:widowControl w:val="0"/>
        <w:wordWrap/>
        <w:adjustRightInd w:val="0"/>
        <w:snapToGrid w:val="0"/>
        <w:spacing w:line="720" w:lineRule="exact"/>
        <w:ind w:left="0" w:leftChars="0"/>
        <w:jc w:val="center"/>
        <w:textAlignment w:val="auto"/>
        <w:outlineLvl w:val="9"/>
        <w:rPr>
          <w:rFonts w:hint="eastAsia" w:ascii="宋体" w:hAnsi="宋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土壤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其他污染防治支出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天然林保护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森林管护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9078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6953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6496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4534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城管执法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工程建设标准规范编制与监管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工程建设管理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住宅建设与房地产市场监管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666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城乡社区公共设施</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其他城乡社区公共设施支出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i w:val="0"/>
                <w:color w:val="000000"/>
                <w:kern w:val="0"/>
                <w:sz w:val="24"/>
                <w:szCs w:val="24"/>
                <w:u w:val="none"/>
                <w:lang w:val="en-US" w:eastAsia="zh-CN" w:bidi="ar"/>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36498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14947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13753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7013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5242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5242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科技转化与推广服务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农产品质量安全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执法监管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防灾救灾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农业合作经济</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农村社会事业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农业资源保护修复与利用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成品油价格改革对渔业的补贴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农田建设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8996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4318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技术推广与转化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森林生态效益补偿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动植物保护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执法与监督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产业化管理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9888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771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水利工程建设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抗旱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农村水利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扶贫</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313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扶贫事业机构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其他扶贫支出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普惠金融发展支出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农业保险保费补贴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创业担保贷款贴息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bCs/>
                <w:i w:val="0"/>
                <w:color w:val="000000"/>
                <w:kern w:val="0"/>
                <w:sz w:val="24"/>
                <w:szCs w:val="24"/>
                <w:u w:val="none"/>
                <w:lang w:val="en-US" w:eastAsia="zh-CN" w:bidi="ar"/>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10859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5465 </w:t>
            </w:r>
          </w:p>
        </w:tc>
      </w:tr>
    </w:tbl>
    <w:p>
      <w:pPr>
        <w:widowControl w:val="0"/>
        <w:wordWrap/>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Times New Roman" w:hAnsi="Times New Roman" w:eastAsia="黑体" w:cs="黑体"/>
          <w:color w:val="auto"/>
          <w:sz w:val="28"/>
          <w:szCs w:val="28"/>
          <w:highlight w:val="none"/>
        </w:rPr>
        <w:br w:type="page"/>
      </w: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8514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989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交通运输信息化建设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公路运输管理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4323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港口设施</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航道维护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276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海事管理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其他公路水路运输支出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车辆购置税支出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1458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公共交通运营补助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000000"/>
                <w:kern w:val="0"/>
                <w:sz w:val="24"/>
                <w:szCs w:val="24"/>
                <w:u w:val="none"/>
                <w:lang w:val="en-US" w:eastAsia="zh-CN" w:bidi="ar"/>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工业和信息产业监管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1399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000000"/>
                <w:kern w:val="0"/>
                <w:sz w:val="24"/>
                <w:szCs w:val="24"/>
                <w:u w:val="none"/>
                <w:lang w:val="en-US" w:eastAsia="zh-CN" w:bidi="ar"/>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645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其他商业流通事务支出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其他涉外发展服务支出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b/>
                <w:bCs/>
                <w:i w:val="0"/>
                <w:color w:val="000000"/>
                <w:kern w:val="0"/>
                <w:sz w:val="24"/>
                <w:szCs w:val="24"/>
                <w:u w:val="none"/>
                <w:lang w:val="en-US" w:eastAsia="zh-CN" w:bidi="ar"/>
              </w:rPr>
              <w:t>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金融部门监管支出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金融部门其他监管支出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其他金融支出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b w:val="0"/>
                <w:bCs w:val="0"/>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援助其他地区支出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3915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3214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2872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2361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其他自然资源事务支出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气象事务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气象事业机构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其他气象事务支出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15377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11614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公共租赁住房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老旧小区改造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11230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bl>
    <w:p>
      <w:pPr>
        <w:widowControl w:val="0"/>
        <w:wordWrap/>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Times New Roman" w:hAnsi="Times New Roman" w:eastAsia="黑体" w:cs="黑体"/>
          <w:color w:val="auto"/>
          <w:sz w:val="28"/>
          <w:szCs w:val="28"/>
          <w:highlight w:val="none"/>
        </w:rPr>
        <w:br w:type="page"/>
      </w: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11230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城乡社区住宅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住房公积金管理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粮油物资储备支出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粮油物资事务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粮油储备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储备粮油补贴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重要商品储备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肉类储备</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5402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1190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1027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522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灾害风险防治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应急管理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消防事务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消防应急救援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2423 </w:t>
            </w:r>
          </w:p>
        </w:tc>
      </w:tr>
    </w:tbl>
    <w:p>
      <w:pPr>
        <w:widowControl w:val="0"/>
        <w:wordWrap/>
        <w:spacing w:line="60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Times New Roman" w:hAnsi="Times New Roman" w:eastAsia="黑体" w:cs="黑体"/>
          <w:color w:val="auto"/>
          <w:sz w:val="28"/>
          <w:szCs w:val="28"/>
          <w:highlight w:val="none"/>
        </w:rPr>
        <w:br w:type="page"/>
      </w:r>
      <w:r>
        <w:rPr>
          <w:rFonts w:hint="eastAsia" w:ascii="方正小标宋简体" w:hAnsi="方正小标宋简体" w:eastAsia="方正小标宋简体" w:cs="方正小标宋简体"/>
          <w:b w:val="0"/>
          <w:bCs/>
          <w:color w:val="auto"/>
          <w:kern w:val="0"/>
          <w:sz w:val="44"/>
          <w:szCs w:val="44"/>
          <w:highlight w:val="none"/>
          <w:lang w:eastAsia="zh-CN"/>
        </w:rPr>
        <w:t>2022年市级一般公共预算支出明细表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7"/>
        <w:gridCol w:w="1695"/>
        <w:gridCol w:w="136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黑体" w:cs="黑体"/>
                <w:b w:val="0"/>
                <w:bCs w:val="0"/>
                <w:i w:val="0"/>
                <w:color w:val="auto"/>
                <w:kern w:val="0"/>
                <w:sz w:val="24"/>
                <w:szCs w:val="24"/>
                <w:highlight w:val="none"/>
                <w:u w:val="none"/>
                <w:lang w:val="en-US" w:eastAsia="zh-CN"/>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lef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黑体" w:cs="黑体"/>
                <w:b w:val="0"/>
                <w:bCs w:val="0"/>
                <w:i w:val="0"/>
                <w:color w:val="auto"/>
                <w:kern w:val="0"/>
                <w:sz w:val="24"/>
                <w:szCs w:val="24"/>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其他消防事务支出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煤矿安全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地震监测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地震灾害预防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地震应急救援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地震事业机构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自然灾害灾后重建补助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val="0"/>
                <w:bCs/>
                <w:i w:val="0"/>
                <w:color w:val="000000"/>
                <w:kern w:val="0"/>
                <w:sz w:val="24"/>
                <w:szCs w:val="24"/>
                <w:u w:val="none"/>
                <w:lang w:val="en-US" w:eastAsia="zh-CN" w:bidi="ar"/>
              </w:rPr>
              <w:t xml:space="preserve"> 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color w:val="000000"/>
                <w:kern w:val="0"/>
                <w:sz w:val="24"/>
                <w:szCs w:val="24"/>
                <w:u w:val="none"/>
                <w:lang w:val="en-US" w:eastAsia="zh-CN" w:bidi="ar"/>
              </w:rPr>
              <w:t>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2"/>
                <w:sz w:val="24"/>
                <w:szCs w:val="24"/>
                <w:highlight w:val="none"/>
                <w:u w:val="none"/>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年市级一般公共预算基本支出预算表</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bCs w:val="0"/>
          <w:color w:val="auto"/>
          <w:kern w:val="0"/>
          <w:sz w:val="36"/>
          <w:szCs w:val="36"/>
          <w:highlight w:val="none"/>
        </w:rPr>
      </w:pPr>
      <w:r>
        <w:rPr>
          <w:rFonts w:hint="eastAsia" w:ascii="楷体" w:hAnsi="楷体" w:eastAsia="楷体" w:cs="楷体"/>
          <w:b/>
          <w:bCs/>
          <w:color w:val="auto"/>
          <w:kern w:val="0"/>
          <w:sz w:val="36"/>
          <w:szCs w:val="36"/>
          <w:highlight w:val="none"/>
        </w:rPr>
        <w:t>（按政府预算支出经济分类科目）</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8"/>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机关工资福利支出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51392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工资奖金津补贴</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36155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社会保障缴费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4906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2525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办公经费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5866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会议费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培训费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委托业务费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公务接待费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公务用车运行维护费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维修（护）费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其他商品和服务支出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776 </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年市级一般公共预算基本支出预算表</w:t>
      </w:r>
    </w:p>
    <w:p>
      <w:pPr>
        <w:widowControl w:val="0"/>
        <w:wordWrap/>
        <w:adjustRightInd w:val="0"/>
        <w:snapToGrid w:val="0"/>
        <w:spacing w:line="720" w:lineRule="exact"/>
        <w:ind w:left="0" w:leftChars="0"/>
        <w:jc w:val="center"/>
        <w:textAlignment w:val="auto"/>
        <w:outlineLvl w:val="9"/>
        <w:rPr>
          <w:rFonts w:hint="eastAsia" w:ascii="楷体" w:hAnsi="楷体" w:eastAsia="楷体" w:cs="楷体"/>
          <w:b/>
          <w:bCs/>
          <w:color w:val="auto"/>
          <w:kern w:val="0"/>
          <w:sz w:val="36"/>
          <w:szCs w:val="36"/>
          <w:highlight w:val="none"/>
        </w:rPr>
      </w:pPr>
      <w:r>
        <w:rPr>
          <w:rFonts w:hint="eastAsia" w:ascii="楷体" w:hAnsi="楷体" w:eastAsia="楷体" w:cs="楷体"/>
          <w:b/>
          <w:bCs/>
          <w:color w:val="auto"/>
          <w:kern w:val="0"/>
          <w:sz w:val="36"/>
          <w:szCs w:val="36"/>
          <w:highlight w:val="none"/>
        </w:rPr>
        <w:t>（按政府预算支出经济分类科目）</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8"/>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机关资本性支出（一）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设备购置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185680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178413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7267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资本性支出（一）</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18818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社会福利和救助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  离退休费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 xml:space="preserve">17560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合   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u w:val="none"/>
                <w:lang w:val="en-US" w:eastAsia="zh-CN" w:bidi="ar"/>
              </w:rPr>
              <w:t>263489</w:t>
            </w:r>
          </w:p>
        </w:tc>
      </w:tr>
    </w:tbl>
    <w:p>
      <w:pPr>
        <w:pStyle w:val="4"/>
        <w:rPr>
          <w:rFonts w:hint="eastAsia" w:ascii="宋体" w:hAnsi="宋体" w:eastAsia="黑体" w:cs="黑体"/>
          <w:b w:val="0"/>
          <w:bCs w:val="0"/>
          <w:i w:val="0"/>
          <w:color w:val="auto"/>
          <w:kern w:val="0"/>
          <w:sz w:val="24"/>
          <w:szCs w:val="24"/>
          <w:highlight w:val="none"/>
          <w:u w:val="none"/>
          <w:lang w:val="en-US" w:eastAsia="zh-CN"/>
        </w:rPr>
      </w:pPr>
    </w:p>
    <w:p>
      <w:pPr>
        <w:pStyle w:val="4"/>
        <w:rPr>
          <w:rFonts w:hint="eastAsia" w:ascii="宋体" w:hAnsi="宋体"/>
          <w:color w:val="auto"/>
          <w:highlight w:val="none"/>
        </w:rPr>
      </w:pPr>
      <w:r>
        <w:rPr>
          <w:rFonts w:hint="eastAsia" w:ascii="宋体" w:hAnsi="宋体" w:eastAsia="黑体" w:cs="黑体"/>
          <w:b w:val="0"/>
          <w:bCs w:val="0"/>
          <w:i w:val="0"/>
          <w:color w:val="auto"/>
          <w:kern w:val="0"/>
          <w:sz w:val="24"/>
          <w:szCs w:val="24"/>
          <w:highlight w:val="none"/>
          <w:u w:val="none"/>
          <w:lang w:val="en-US" w:eastAsia="zh-CN"/>
        </w:rPr>
        <w:t>备注：</w:t>
      </w:r>
      <w:r>
        <w:rPr>
          <w:rFonts w:hint="eastAsia" w:ascii="宋体" w:hAnsi="宋体" w:eastAsia="宋体" w:cs="宋体"/>
          <w:i w:val="0"/>
          <w:color w:val="auto"/>
          <w:kern w:val="0"/>
          <w:sz w:val="24"/>
          <w:szCs w:val="24"/>
          <w:highlight w:val="none"/>
          <w:u w:val="none"/>
          <w:lang w:val="en-US" w:eastAsia="zh-CN"/>
        </w:rPr>
        <w:t>按照《财政部关于印发&lt;支出经济分类科目改革方案&gt;的通知》（财预〔2017〕98号）要求，从2018年起按预算支出经济分类科目编制政府预算。</w:t>
      </w: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年市级一般公共预算“三公”经费</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支出预算表</w:t>
      </w:r>
    </w:p>
    <w:p>
      <w:pPr>
        <w:widowControl w:val="0"/>
        <w:wordWrap/>
        <w:adjustRightInd w:val="0"/>
        <w:snapToGrid w:val="0"/>
        <w:spacing w:line="600" w:lineRule="exact"/>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76"/>
        <w:gridCol w:w="3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因公出国（境）费用</w:t>
            </w:r>
          </w:p>
        </w:tc>
        <w:tc>
          <w:tcPr>
            <w:tcW w:w="3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公务接待费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公务用车购置及运行费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其中：公务用车运行维护费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 xml:space="preserve">      公务用车购置费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合    计</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5274</w:t>
            </w:r>
          </w:p>
        </w:tc>
      </w:tr>
    </w:tbl>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宋体" w:hAnsi="宋体" w:eastAsia="宋体" w:cs="宋体"/>
          <w:color w:val="auto"/>
          <w:sz w:val="24"/>
          <w:szCs w:val="24"/>
          <w:highlight w:val="none"/>
        </w:rPr>
        <w:br w:type="page"/>
      </w:r>
      <w:r>
        <w:rPr>
          <w:rFonts w:hint="eastAsia" w:ascii="方正小标宋简体" w:hAnsi="方正小标宋简体" w:eastAsia="方正小标宋简体" w:cs="方正小标宋简体"/>
          <w:b w:val="0"/>
          <w:bCs/>
          <w:color w:val="auto"/>
          <w:kern w:val="0"/>
          <w:sz w:val="44"/>
          <w:szCs w:val="44"/>
          <w:highlight w:val="none"/>
        </w:rPr>
        <w:t>关于20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年市级一</w:t>
      </w:r>
      <w:r>
        <w:rPr>
          <w:rFonts w:hint="eastAsia" w:ascii="方正小标宋简体" w:hAnsi="方正小标宋简体" w:eastAsia="方正小标宋简体" w:cs="方正小标宋简体"/>
          <w:b w:val="0"/>
          <w:bCs/>
          <w:color w:val="auto"/>
          <w:kern w:val="0"/>
          <w:sz w:val="44"/>
          <w:szCs w:val="44"/>
          <w:highlight w:val="none"/>
          <w:lang w:val="en-US" w:eastAsia="zh-CN"/>
        </w:rPr>
        <w:t>般公共预算“三公”经费</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支出预算的说明</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三公经费包括：因公出国（境）费用、公务车购置及运行费、公务招待费。因公出国（境）费指单位工作人员公务出国（境）的住宿费、差旅费、伙食补助费、杂费、培训费等支出。公务用车购置及运行费指单位公务用车购置费及租用费、燃料费、维修费、过路过桥费、保险费等支出，公务用车指用于履行公务的机动车辆，包括领导干部专车、一般公务用车和执法执勤用车。公务接待费指单位按规定开支的各类公务接待（含外宾接待）支出。</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sz w:val="28"/>
          <w:szCs w:val="28"/>
          <w:highlight w:val="none"/>
          <w:lang w:eastAsia="zh-CN"/>
        </w:rPr>
      </w:pPr>
      <w:r>
        <w:rPr>
          <w:rFonts w:hint="eastAsia" w:ascii="Times New Roman" w:hAnsi="Times New Roman" w:eastAsia="仿宋_GB2312" w:cs="仿宋_GB2312"/>
          <w:color w:val="auto"/>
          <w:kern w:val="0"/>
          <w:sz w:val="32"/>
          <w:szCs w:val="32"/>
          <w:highlight w:val="none"/>
          <w:lang w:val="en-US" w:eastAsia="zh-CN"/>
        </w:rPr>
        <w:t>为深入贯彻落实中央关于厉行节约的精神，进一步树立过紧日子的思想，2013年省委省政府要求全省各部门“三公经费”支出要在上年基础上压减10%，市财政按照要求，提请市政府同意，向市直各部门下达了三公经费支出压减和控制目标6737万元，比2012年压减749万元，压减10%。从2014年起，在编制预算时三公经费实行总量控制，经过持续压减一般性支出，并考虑车改减少的公务用车运行维护费，2022年市级三公经费支出预算总量控制在5274万元以内，与上年持平，其中：因公出国（境）费用预算400万元，公务接待费预算1488万元，公务用车运行及购置费预</w:t>
      </w:r>
      <w:r>
        <w:rPr>
          <w:rFonts w:hint="eastAsia" w:ascii="Times New Roman" w:hAnsi="Times New Roman" w:eastAsia="仿宋_GB2312" w:cs="仿宋_GB2312"/>
          <w:color w:val="auto"/>
          <w:spacing w:val="-6"/>
          <w:kern w:val="0"/>
          <w:sz w:val="32"/>
          <w:szCs w:val="32"/>
          <w:highlight w:val="none"/>
          <w:lang w:val="en-US" w:eastAsia="zh-CN"/>
        </w:rPr>
        <w:t>算3386万元，其中：公务用车购置792万元，运行维护费2594万元。</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年市对镇一般公共预算税收返还</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和转移支付预算表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2"/>
        <w:gridCol w:w="1688"/>
        <w:gridCol w:w="1905"/>
        <w:gridCol w:w="19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blHeader/>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开发区、镇（街道）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合计</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税收返还</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一般性转移</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支付</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轵城镇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-476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1715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五龙口镇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1018</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526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492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克井镇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3637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-724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4061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承留镇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-623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2959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坡头镇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426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1113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邵原镇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2146</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335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1810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梨林镇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1691</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304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1268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思礼镇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-327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-1500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673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大峪镇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1875</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241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1635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下冶镇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115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1885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王屋镇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1752</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375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1377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济水街道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3913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2109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667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沁园街道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4665</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3211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815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639 </w:t>
            </w:r>
          </w:p>
        </w:tc>
      </w:tr>
    </w:tbl>
    <w:p>
      <w:pPr>
        <w:widowControl w:val="0"/>
        <w:wordWrap/>
        <w:spacing w:line="600" w:lineRule="exact"/>
        <w:ind w:left="0"/>
        <w:jc w:val="both"/>
        <w:textAlignment w:val="auto"/>
        <w:outlineLvl w:val="9"/>
        <w:rPr>
          <w:rFonts w:hint="eastAsia" w:ascii="宋体" w:hAnsi="宋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年市对镇一般公共预算税收返还</w:t>
      </w: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和转移支付预算表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2"/>
        <w:gridCol w:w="1688"/>
        <w:gridCol w:w="1905"/>
        <w:gridCol w:w="19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blHeader/>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开发区、镇（街道）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合计</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税收返还</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一般性转移</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支付</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北海街道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1628</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1007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424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天坛街道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239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2390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玉泉街道</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771</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419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319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高新技术产业开发区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iCs w:val="0"/>
                <w:color w:val="000000"/>
                <w:kern w:val="0"/>
                <w:sz w:val="24"/>
                <w:szCs w:val="24"/>
                <w:u w:val="none"/>
                <w:lang w:val="en-US" w:eastAsia="zh-CN" w:bidi="ar"/>
              </w:rPr>
              <w:t xml:space="preserve">190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lang w:val="en-US"/>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经济技术开发区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227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  计</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33049</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6401 </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23603 </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3045</w:t>
            </w:r>
          </w:p>
        </w:tc>
      </w:tr>
    </w:tbl>
    <w:p>
      <w:pPr>
        <w:spacing w:line="600" w:lineRule="exact"/>
        <w:jc w:val="left"/>
        <w:textAlignment w:val="center"/>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kern w:val="0"/>
          <w:sz w:val="24"/>
          <w:highlight w:val="none"/>
          <w:lang w:eastAsia="zh-CN"/>
        </w:rPr>
        <w:t>按照</w:t>
      </w:r>
      <w:r>
        <w:rPr>
          <w:rFonts w:hint="eastAsia" w:ascii="宋体" w:hAnsi="宋体"/>
          <w:color w:val="auto"/>
          <w:kern w:val="0"/>
          <w:sz w:val="24"/>
          <w:highlight w:val="none"/>
        </w:rPr>
        <w:t>营改增</w:t>
      </w:r>
      <w:r>
        <w:rPr>
          <w:rFonts w:hint="eastAsia" w:ascii="宋体" w:hAnsi="宋体"/>
          <w:color w:val="auto"/>
          <w:kern w:val="0"/>
          <w:sz w:val="24"/>
          <w:highlight w:val="none"/>
          <w:lang w:eastAsia="zh-CN"/>
        </w:rPr>
        <w:t>规定</w:t>
      </w:r>
      <w:r>
        <w:rPr>
          <w:rFonts w:hint="eastAsia" w:ascii="宋体" w:hAnsi="宋体"/>
          <w:color w:val="auto"/>
          <w:kern w:val="0"/>
          <w:sz w:val="24"/>
          <w:highlight w:val="none"/>
        </w:rPr>
        <w:t>省财政核定</w:t>
      </w:r>
      <w:r>
        <w:rPr>
          <w:rFonts w:hint="eastAsia" w:ascii="宋体" w:hAnsi="宋体"/>
          <w:color w:val="auto"/>
          <w:kern w:val="0"/>
          <w:sz w:val="24"/>
          <w:highlight w:val="none"/>
          <w:lang w:eastAsia="zh-CN"/>
        </w:rPr>
        <w:t>部分镇</w:t>
      </w:r>
      <w:r>
        <w:rPr>
          <w:rFonts w:hint="eastAsia" w:ascii="宋体" w:hAnsi="宋体"/>
          <w:color w:val="auto"/>
          <w:kern w:val="0"/>
          <w:sz w:val="24"/>
          <w:highlight w:val="none"/>
        </w:rPr>
        <w:t>增值税“五五分享”</w:t>
      </w:r>
      <w:r>
        <w:rPr>
          <w:rFonts w:hint="eastAsia" w:ascii="宋体" w:hAnsi="宋体"/>
          <w:color w:val="auto"/>
          <w:kern w:val="0"/>
          <w:sz w:val="24"/>
          <w:highlight w:val="none"/>
          <w:lang w:eastAsia="zh-CN"/>
        </w:rPr>
        <w:t>补助</w:t>
      </w:r>
      <w:r>
        <w:rPr>
          <w:rFonts w:hint="eastAsia" w:ascii="宋体" w:hAnsi="宋体"/>
          <w:color w:val="auto"/>
          <w:kern w:val="0"/>
          <w:sz w:val="24"/>
          <w:highlight w:val="none"/>
        </w:rPr>
        <w:t>收入为负数。</w:t>
      </w: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spacing w:line="600" w:lineRule="exact"/>
        <w:jc w:val="left"/>
        <w:textAlignment w:val="center"/>
        <w:rPr>
          <w:rFonts w:hint="eastAsia" w:ascii="宋体" w:hAnsi="宋体"/>
          <w:color w:val="auto"/>
          <w:kern w:val="0"/>
          <w:sz w:val="24"/>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0"/>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合   计</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lang w:val="en-US"/>
              </w:rPr>
            </w:pPr>
            <w:r>
              <w:rPr>
                <w:rFonts w:hint="eastAsia" w:ascii="宋体" w:hAnsi="宋体" w:eastAsia="宋体" w:cs="宋体"/>
                <w:i w:val="0"/>
                <w:iCs w:val="0"/>
                <w:color w:val="auto"/>
                <w:kern w:val="0"/>
                <w:sz w:val="24"/>
                <w:szCs w:val="24"/>
                <w:u w:val="none"/>
                <w:lang w:val="en-US" w:eastAsia="zh-CN" w:bidi="ar"/>
              </w:rPr>
              <w:t>277822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8267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增值税返还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8494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所得税基数返还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4732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成品油税费改革税收返还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3985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增值税"五五分享"税收返还收入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-9096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消费税税收返还收入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一般性转移支付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259900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均衡性转移支付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23097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县级基本财力保障机制奖补资金收入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7390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重点生态功能区转移支付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固定数额补助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9762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欠发达地区转移支付收入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结算补助收入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145921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其他一般性转移支付收入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354 </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3"/>
        <w:gridCol w:w="3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公共安全共同财政事权转移支付收入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医疗卫生共同财政事权转移支付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24840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社会保障和就业共同财政事权转移支付收入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10844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交通运输共同财政事权转移支付收入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5851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节能环保共同财政事权转移支付收入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农林水共同财政事权转移支付收入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12386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文化旅游体育与传媒共同财政事权转移支付收入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教育共同财政事权转移支付收入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15745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专项转移支付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一般公共服务类</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统战事务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 xml:space="preserve">    市场监督管理</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24"/>
                <w:szCs w:val="24"/>
                <w:u w:val="none"/>
                <w:lang w:val="en-US" w:eastAsia="zh-CN" w:bidi="ar"/>
              </w:rPr>
              <w:t xml:space="preserve">  科学技术支出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24"/>
                <w:szCs w:val="24"/>
                <w:u w:val="none"/>
                <w:lang w:val="en-US" w:eastAsia="zh-CN" w:bidi="ar"/>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24"/>
                <w:szCs w:val="24"/>
                <w:u w:val="none"/>
                <w:lang w:val="en-US" w:eastAsia="zh-CN" w:bidi="ar"/>
              </w:rPr>
              <w:t xml:space="preserve">    技术研究与开发</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24"/>
                <w:szCs w:val="24"/>
                <w:u w:val="none"/>
                <w:lang w:val="en-US" w:eastAsia="zh-CN" w:bidi="ar"/>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iCs w:val="0"/>
                <w:color w:val="auto"/>
                <w:kern w:val="0"/>
                <w:sz w:val="24"/>
                <w:szCs w:val="24"/>
                <w:u w:val="none"/>
                <w:lang w:val="en-US" w:eastAsia="zh-CN" w:bidi="ar"/>
              </w:rPr>
              <w:t xml:space="preserve">  卫生健康支出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iCs w:val="0"/>
                <w:color w:val="auto"/>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 xml:space="preserve">    公共卫生</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460</w:t>
            </w:r>
          </w:p>
        </w:tc>
      </w:tr>
    </w:tbl>
    <w:p>
      <w:pPr>
        <w:widowControl w:val="0"/>
        <w:wordWrap/>
        <w:spacing w:line="600" w:lineRule="exact"/>
        <w:ind w:left="0"/>
        <w:jc w:val="both"/>
        <w:textAlignment w:val="auto"/>
        <w:outlineLvl w:val="9"/>
        <w:rPr>
          <w:rFonts w:hint="eastAsia" w:ascii="宋体" w:hAnsi="宋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年省提前通知转移支付明细表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0"/>
        <w:gridCol w:w="3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 xml:space="preserve">  节能环保类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7898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 xml:space="preserve">    污染防治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 xml:space="preserve">    循环经济</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 xml:space="preserve">  农林水发展类</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 xml:space="preserve">    农村综合改革</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普惠金融发展</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396</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62"/>
        <w:gridCol w:w="1775"/>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6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000000"/>
                <w:kern w:val="0"/>
                <w:sz w:val="24"/>
                <w:szCs w:val="24"/>
                <w:u w:val="none"/>
                <w:lang w:val="en-US" w:eastAsia="zh-CN" w:bidi="ar"/>
              </w:rPr>
              <w:t>15543</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235315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一、一般公共服务支出</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1646</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智慧城市建设项目（“济源市人民政府”及各政府部门网站IPv6改造）</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智慧城市建设项目（济源信息化政务平台运维项目）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智慧城市建设项目（“济源市人民政府”网站和市政务网站云平台升级项目）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智慧城市建设项目（济源工程建设项目审批综合管理平台）</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214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24小时综合自助服务区建设项目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231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济源市视频监控平台及政务灾备中心项目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878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纪检监察宣教基地装修及信息化建设项目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纪检监察宣教中心项目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二、公共安全</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511</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公安局数据中心机房建设项目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112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执法办案中心场地建设项目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246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公安局办公楼消防改造项目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128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公安局指挥中心建设项目</w:t>
            </w:r>
          </w:p>
        </w:tc>
        <w:tc>
          <w:tcPr>
            <w:tcW w:w="1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25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77"/>
        <w:gridCol w:w="1744"/>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blHeader/>
        </w:trPr>
        <w:tc>
          <w:tcPr>
            <w:tcW w:w="51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三、教育支出</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2675</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教体局汽改水供热工程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24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农村中小学教师周转房建设项目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500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农村校舍维修项目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178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机械技工学校建设项目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500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校舍维修改造工程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230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幼儿园建设项目工程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26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玉川路、天坛路小学建设工程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407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济源一中综合楼项目 </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274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六中改扩建工程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536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北海街道第一幼儿园项目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济源产教融合园区基础设施建设项目（一期）</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auto"/>
                <w:kern w:val="0"/>
                <w:sz w:val="24"/>
                <w:szCs w:val="24"/>
                <w:highlight w:val="none"/>
                <w:u w:val="none"/>
                <w:lang w:val="en-US" w:eastAsia="zh-CN"/>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济源幼儿园建设项目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四、城乡社区支出</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1297</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济源市智慧园林一期建设项目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75 </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73"/>
        <w:gridCol w:w="1725"/>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7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7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龙源桥拆除重建项目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39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长江支队纪念碑提升改造项目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示范区国防动员信息系统项目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122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奉仙桥项目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158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龙源桥项目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蟒河北路项目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壹号城邦北侧路项目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济渎路电缆入地改造项目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116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玉川街东延项目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愚公路项目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250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虎岭一号线人行道改造项目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第二污水处理厂工程</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公厕改造项目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健康城南侧路项目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25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城建档案馆改造项目</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8"/>
        <w:gridCol w:w="1744"/>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5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富士康AB厂区人行天桥项目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东一环南延项目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南一环东延项目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示范性综合实践基地人防教育馆布展装修工程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城市智能公共停车场建设项目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玉泉综合智慧停车场项目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2022年老旧小区提升项目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城区输供水管网提升项目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虎岭高新片区智慧停车场项目（一期）</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济东新区地下综合管网项目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五、农林水支出</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1417</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邵原防检中心站项目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 </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河南省动物指定通道济源站建设项目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27 </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农田水利设施排查整改项目</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105 </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克井镇2万亩高标准农田建设项目工程</w:t>
            </w:r>
          </w:p>
        </w:tc>
        <w:tc>
          <w:tcPr>
            <w:tcW w:w="1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274 </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9"/>
        <w:gridCol w:w="1738"/>
        <w:gridCol w:w="1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4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农业综合开发项目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100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王屋镇农业综合开发土地治理项目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350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农田水利项目县工程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216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防汛监测及“河长+”信息管理系统项目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200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王屋山水库设施道路维修项目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31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大峪镇反头岭村提水工程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51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大峪河清虚至东河河道治理工程  </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 </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黄河流域砚瓦河生态清洁小流域治理工程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济源市人工湿地项目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小浪底库区北岸森林火灾高风险区综合治理项目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小型病险水库除险加固（庆华水库）项目</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济源市南部岭区供水工程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蟒河口水库供水工程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济源北部供水工程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六、文化旅游与传媒支出</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191</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8000</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9"/>
        <w:gridCol w:w="1750"/>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4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柴庄延庆寺塔修缮工程</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63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济渎庙消防工程</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79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北勋石佛寺二期维修工程</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万泉寨文物建筑保护修缮工程</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33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济源市玉泉体育活动中心建设项目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济源西霞湖生态文旅综合开发项目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王屋片区文化旅游基础设施项目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七、卫生健康支出</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984</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党校集中隔离点基础设施整改项目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P2实验室改造项目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人民医院传染病房楼建设项目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291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区域医疗中心项目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公共卫生医学中心项目 </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500 </w:t>
            </w: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济源重大疫情救治基地项目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济源精神卫生服务中心改扩建项目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2600</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62"/>
        <w:gridCol w:w="1750"/>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6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济源市人民医院东院区项目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五龙口卫生院迁建项目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八、节能环保支出</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1141</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山水林田湖草项目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400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山水林田湖草土壤重金属污染农田修复试点项目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237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山水林田湖草人工湿地项目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436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移动源排放监测站点建设及运维项目和遥感监测运维服务项目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68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九、自然资源等支出</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466</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下冶好汉坡移民安置区不稳定斜坡治理项目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智慧济源时空大数据平台建设项目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300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第三次全国土地调查数据管理系统和共享服务平台建设项目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150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十、住房保障支出</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845</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龙潭花园青多村团购房项目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845 </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富士花园公租房三期项目</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十一、交通运输支出</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4070</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4500</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74"/>
        <w:gridCol w:w="1763"/>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黄河东路道路绿化景观工程二标段工程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67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菏宝高速济源东站夜景亮化项目</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S243郭木线市区至坡头段改建工程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149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S312温邵线罡头至李八庄一级公路改建工程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469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S245邵吉线方山至坡头公路改造工程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S312温邵线李八庄至虎岭段大修工程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S240跨焦柳铁路与柴河水库特大桥两侧引线工程前期</w:t>
            </w:r>
            <w:r>
              <w:rPr>
                <w:rFonts w:hint="eastAsia" w:ascii="宋体" w:hAnsi="宋体" w:cs="宋体"/>
                <w:i w:val="0"/>
                <w:iCs w:val="0"/>
                <w:color w:val="000000"/>
                <w:kern w:val="0"/>
                <w:sz w:val="24"/>
                <w:szCs w:val="24"/>
                <w:u w:val="none"/>
                <w:lang w:val="en-US" w:eastAsia="zh-CN" w:bidi="ar"/>
              </w:rPr>
              <w:t>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134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S306卫柿线济源境改建项目</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147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济源市干线公路管理养护工程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1503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二级公路项目</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1000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2019年扶贫村道项目</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41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玉川隧道安防提质改造项目</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77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玉川隧道至大社改造工程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34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汤帝北路至玉川二号线改建工程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89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七号信箱小镇道路</w:t>
            </w:r>
            <w:r>
              <w:rPr>
                <w:rFonts w:hint="eastAsia" w:ascii="宋体" w:hAnsi="宋体" w:cs="宋体"/>
                <w:i w:val="0"/>
                <w:iCs w:val="0"/>
                <w:color w:val="000000"/>
                <w:kern w:val="0"/>
                <w:sz w:val="24"/>
                <w:szCs w:val="24"/>
                <w:u w:val="none"/>
                <w:lang w:val="en-US" w:eastAsia="zh-CN" w:bidi="ar"/>
              </w:rPr>
              <w:t>工程</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 </w:t>
            </w:r>
          </w:p>
        </w:tc>
        <w:tc>
          <w:tcPr>
            <w:tcW w:w="1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年市级基本建设支出预算表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685"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8"/>
        <w:gridCol w:w="1788"/>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 w:hRule="atLeast"/>
          <w:tblHeader/>
        </w:trPr>
        <w:tc>
          <w:tcPr>
            <w:tcW w:w="514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5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14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黑体" w:hAnsi="宋体" w:eastAsia="黑体" w:cs="黑体"/>
                <w:i w:val="0"/>
                <w:iCs w:val="0"/>
                <w:color w:val="000000"/>
                <w:kern w:val="0"/>
                <w:sz w:val="24"/>
                <w:szCs w:val="24"/>
                <w:u w:val="none"/>
                <w:lang w:val="en-US" w:eastAsia="zh-CN" w:bidi="ar"/>
              </w:rPr>
              <w:t>本级预算</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债券安排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伊利桥</w:t>
            </w:r>
            <w:r>
              <w:rPr>
                <w:rFonts w:hint="eastAsia" w:ascii="宋体" w:hAnsi="宋体" w:cs="宋体"/>
                <w:i w:val="0"/>
                <w:iCs w:val="0"/>
                <w:color w:val="000000"/>
                <w:kern w:val="0"/>
                <w:sz w:val="24"/>
                <w:szCs w:val="24"/>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39 </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龙潭沟桥</w:t>
            </w:r>
            <w:r>
              <w:rPr>
                <w:rFonts w:hint="eastAsia" w:ascii="宋体" w:hAnsi="宋体" w:cs="宋体"/>
                <w:i w:val="0"/>
                <w:iCs w:val="0"/>
                <w:color w:val="000000"/>
                <w:kern w:val="0"/>
                <w:sz w:val="24"/>
                <w:szCs w:val="24"/>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43 </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通村入组工程</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65 </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农村公路安防工程</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63 </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S245邵原至下冶改建工程</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S230林山至小有河段灾毁重建工程</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黄河小浪底库区港航建设工程</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十二、灾害防治及应急管理支出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000000"/>
                <w:kern w:val="0"/>
                <w:sz w:val="24"/>
                <w:szCs w:val="24"/>
                <w:u w:val="none"/>
                <w:lang w:val="en-US" w:eastAsia="zh-CN" w:bidi="ar"/>
              </w:rPr>
              <w:t>300</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宣化街小型消防站项目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300 </w:t>
            </w: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十三、其他支出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济源钢产品深加工产业园C区二期项目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济源有色金属产业创新孵化中心</w:t>
            </w:r>
            <w:r>
              <w:rPr>
                <w:rFonts w:hint="eastAsia" w:ascii="宋体" w:hAnsi="宋体" w:cs="宋体"/>
                <w:i w:val="0"/>
                <w:iCs w:val="0"/>
                <w:color w:val="000000"/>
                <w:kern w:val="0"/>
                <w:sz w:val="24"/>
                <w:szCs w:val="24"/>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虎岭钢产品深加工产业园C区一期</w:t>
            </w:r>
            <w:r>
              <w:rPr>
                <w:rFonts w:hint="eastAsia" w:ascii="宋体" w:hAnsi="宋体" w:cs="宋体"/>
                <w:i w:val="0"/>
                <w:iCs w:val="0"/>
                <w:color w:val="000000"/>
                <w:kern w:val="0"/>
                <w:sz w:val="24"/>
                <w:szCs w:val="24"/>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高新双创基地加速器项目（一期）</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济源市新型智慧城市二期建设项目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1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老年公寓</w:t>
            </w:r>
            <w:r>
              <w:rPr>
                <w:rFonts w:hint="eastAsia" w:ascii="宋体" w:hAnsi="宋体" w:cs="宋体"/>
                <w:i w:val="0"/>
                <w:iCs w:val="0"/>
                <w:color w:val="000000"/>
                <w:kern w:val="0"/>
                <w:sz w:val="24"/>
                <w:szCs w:val="24"/>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21</w:t>
      </w:r>
      <w:r>
        <w:rPr>
          <w:rFonts w:hint="eastAsia" w:ascii="方正小标宋简体" w:hAnsi="方正小标宋简体" w:eastAsia="方正小标宋简体" w:cs="方正小标宋简体"/>
          <w:b w:val="0"/>
          <w:bCs/>
          <w:color w:val="auto"/>
          <w:kern w:val="0"/>
          <w:sz w:val="44"/>
          <w:szCs w:val="44"/>
          <w:highlight w:val="none"/>
        </w:rPr>
        <w:t>年和202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年政府一般债务余额情况表</w:t>
      </w:r>
    </w:p>
    <w:p>
      <w:pPr>
        <w:widowControl w:val="0"/>
        <w:wordWrap/>
        <w:overflowPunct w:val="0"/>
        <w:autoSpaceDE w:val="0"/>
        <w:autoSpaceDN w:val="0"/>
        <w:adjustRightInd w:val="0"/>
        <w:snapToGrid w:val="0"/>
        <w:spacing w:line="660" w:lineRule="exact"/>
        <w:ind w:left="0" w:leftChars="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8"/>
        <w:gridCol w:w="1889"/>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2020年末政府一般债务余额实际数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651903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651903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2021年末政府一般债务余额限额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762846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762846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2021年政府一般债券发行额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89000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89000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2021年政府一般债券还本额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74806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74806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2021年末政府一般债务余额预计执行数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666097 </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666097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2022年政府一般债务新增限额</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12415</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12415</w:t>
            </w:r>
          </w:p>
        </w:tc>
      </w:tr>
    </w:tbl>
    <w:p>
      <w:pPr>
        <w:numPr>
          <w:ilvl w:val="0"/>
          <w:numId w:val="0"/>
        </w:numPr>
        <w:jc w:val="both"/>
        <w:rPr>
          <w:rFonts w:hint="eastAsia" w:ascii="宋体" w:hAnsi="宋体" w:eastAsia="仿宋" w:cs="仿宋"/>
          <w:b/>
          <w:bCs/>
          <w:color w:val="auto"/>
          <w:sz w:val="32"/>
          <w:szCs w:val="32"/>
          <w:highlight w:val="none"/>
          <w:lang w:val="en-US" w:eastAsia="zh-CN"/>
        </w:rPr>
      </w:pPr>
    </w:p>
    <w:p>
      <w:pPr>
        <w:rPr>
          <w:rFonts w:hint="eastAsia" w:ascii="宋体" w:hAnsi="宋体" w:eastAsia="黑体" w:cs="黑体"/>
          <w:color w:val="auto"/>
          <w:sz w:val="32"/>
          <w:szCs w:val="30"/>
          <w:highlight w:val="none"/>
        </w:rPr>
      </w:pPr>
    </w:p>
    <w:p>
      <w:pPr>
        <w:rPr>
          <w:rFonts w:hint="eastAsia" w:ascii="宋体" w:hAnsi="宋体" w:eastAsia="黑体" w:cs="黑体"/>
          <w:color w:val="auto"/>
          <w:sz w:val="32"/>
          <w:szCs w:val="30"/>
          <w:highlight w:val="none"/>
        </w:rPr>
      </w:pPr>
    </w:p>
    <w:p>
      <w:pPr>
        <w:pStyle w:val="4"/>
        <w:rPr>
          <w:rFonts w:hint="eastAsia"/>
          <w:color w:val="auto"/>
          <w:highlight w:val="none"/>
        </w:rPr>
      </w:pPr>
    </w:p>
    <w:p>
      <w:pPr>
        <w:rPr>
          <w:rFonts w:hint="eastAsia" w:ascii="宋体" w:hAnsi="宋体" w:eastAsia="黑体" w:cs="黑体"/>
          <w:color w:val="auto"/>
          <w:sz w:val="32"/>
          <w:szCs w:val="30"/>
          <w:highlight w:val="none"/>
        </w:rPr>
      </w:pPr>
    </w:p>
    <w:p>
      <w:pPr>
        <w:pStyle w:val="4"/>
        <w:rPr>
          <w:rFonts w:hint="eastAsia" w:ascii="宋体" w:hAnsi="宋体" w:eastAsia="黑体" w:cs="黑体"/>
          <w:color w:val="auto"/>
          <w:sz w:val="32"/>
          <w:szCs w:val="30"/>
          <w:highlight w:val="none"/>
        </w:rPr>
      </w:pPr>
    </w:p>
    <w:p>
      <w:pPr>
        <w:rPr>
          <w:rFonts w:hint="eastAsia" w:ascii="宋体" w:hAnsi="宋体" w:eastAsia="黑体" w:cs="黑体"/>
          <w:color w:val="auto"/>
          <w:sz w:val="32"/>
          <w:szCs w:val="30"/>
          <w:highlight w:val="none"/>
        </w:rPr>
      </w:pPr>
    </w:p>
    <w:p>
      <w:pPr>
        <w:pStyle w:val="4"/>
        <w:rPr>
          <w:rFonts w:hint="eastAsia" w:ascii="宋体" w:hAnsi="宋体" w:eastAsia="黑体" w:cs="黑体"/>
          <w:color w:val="auto"/>
          <w:sz w:val="32"/>
          <w:szCs w:val="30"/>
          <w:highlight w:val="none"/>
        </w:rPr>
      </w:pPr>
    </w:p>
    <w:p>
      <w:pPr>
        <w:rPr>
          <w:rFonts w:hint="eastAsia"/>
          <w:color w:val="auto"/>
          <w:highlight w:val="none"/>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政府性基金预算收支表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7"/>
        <w:gridCol w:w="1490"/>
        <w:gridCol w:w="2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356481</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一、社会保障和就业支出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6467</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1669</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小型水库移民扶持基金安排的支出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337275</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二、城乡社区支出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290870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7000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271734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4070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6467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二、专项债券对应项目专项收入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11133</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11133</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三、农林水支出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四、其他支出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231816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其他政府性基金及对应专项债务收入安排的支出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228206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彩票发行销售机构业务费安排的支出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彩票公益金安排的支出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3595</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政府性基金预算收支表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7"/>
        <w:gridCol w:w="1490"/>
        <w:gridCol w:w="2770"/>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五、债务付息支出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15106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污水处理费债务付息支出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土地储备专项债券付息支出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t>地方</w:t>
            </w:r>
            <w:r>
              <w:rPr>
                <w:rFonts w:hint="eastAsia" w:ascii="宋体" w:hAnsi="宋体" w:cs="宋体"/>
                <w:i w:val="0"/>
                <w:iCs w:val="0"/>
                <w:color w:val="000000"/>
                <w:kern w:val="0"/>
                <w:sz w:val="24"/>
                <w:szCs w:val="24"/>
                <w:u w:val="none"/>
                <w:lang w:val="en-US" w:eastAsia="zh-CN" w:bidi="ar"/>
              </w:rPr>
              <w:t>自行试点项目收益</w:t>
            </w:r>
            <w:r>
              <w:rPr>
                <w:rFonts w:hint="eastAsia" w:ascii="宋体" w:hAnsi="宋体" w:eastAsia="宋体" w:cs="宋体"/>
                <w:i w:val="0"/>
                <w:iCs w:val="0"/>
                <w:color w:val="000000"/>
                <w:kern w:val="0"/>
                <w:sz w:val="24"/>
                <w:szCs w:val="24"/>
                <w:u w:val="none"/>
                <w:lang w:val="en-US" w:eastAsia="zh-CN" w:bidi="ar"/>
              </w:rPr>
              <w:t>专项债</w:t>
            </w:r>
            <w:r>
              <w:rPr>
                <w:rFonts w:hint="eastAsia" w:ascii="宋体" w:hAnsi="宋体" w:cs="宋体"/>
                <w:i w:val="0"/>
                <w:iCs w:val="0"/>
                <w:color w:val="000000"/>
                <w:kern w:val="0"/>
                <w:sz w:val="24"/>
                <w:szCs w:val="24"/>
                <w:u w:val="none"/>
                <w:lang w:val="en-US" w:eastAsia="zh-CN" w:bidi="ar"/>
              </w:rPr>
              <w:t>券</w:t>
            </w:r>
            <w:r>
              <w:rPr>
                <w:rFonts w:hint="eastAsia" w:ascii="宋体" w:hAnsi="宋体" w:eastAsia="宋体" w:cs="宋体"/>
                <w:i w:val="0"/>
                <w:iCs w:val="0"/>
                <w:color w:val="000000"/>
                <w:kern w:val="0"/>
                <w:sz w:val="24"/>
                <w:szCs w:val="24"/>
                <w:u w:val="none"/>
                <w:lang w:val="en-US" w:eastAsia="zh-CN" w:bidi="ar"/>
              </w:rPr>
              <w:t>付息支</w:t>
            </w:r>
            <w:r>
              <w:rPr>
                <w:rFonts w:hint="eastAsia" w:ascii="宋体" w:hAnsi="宋体" w:cs="宋体"/>
                <w:i w:val="0"/>
                <w:iCs w:val="0"/>
                <w:color w:val="000000"/>
                <w:kern w:val="0"/>
                <w:sz w:val="24"/>
                <w:szCs w:val="24"/>
                <w:u w:val="none"/>
                <w:lang w:val="en-US" w:eastAsia="zh-CN" w:bidi="ar"/>
              </w:rPr>
              <w:t>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367614</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4336</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上年结转结余收入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31741</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地方政府专项债务转贷收入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222900</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调出资金</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补助乡镇</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债务转贷支出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626591</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支出总计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626591</w:t>
            </w:r>
          </w:p>
        </w:tc>
      </w:tr>
    </w:tbl>
    <w:p>
      <w:pPr>
        <w:widowControl w:val="0"/>
        <w:wordWrap/>
        <w:adjustRightInd w:val="0"/>
        <w:snapToGrid w:val="0"/>
        <w:spacing w:line="720" w:lineRule="exact"/>
        <w:ind w:left="0" w:leftChars="0"/>
        <w:jc w:val="both"/>
        <w:textAlignment w:val="auto"/>
        <w:outlineLvl w:val="9"/>
        <w:rPr>
          <w:rFonts w:hint="eastAsia" w:ascii="宋体" w:hAnsi="宋体" w:eastAsia="方正小标宋简体" w:cs="方正小标宋简体"/>
          <w:b w:val="0"/>
          <w:bCs/>
          <w:color w:val="auto"/>
          <w:kern w:val="0"/>
          <w:sz w:val="44"/>
          <w:szCs w:val="44"/>
          <w:highlight w:val="none"/>
        </w:rPr>
      </w:pPr>
    </w:p>
    <w:p>
      <w:pPr>
        <w:widowControl w:val="0"/>
        <w:wordWrap/>
        <w:overflowPunct w:val="0"/>
        <w:autoSpaceDE w:val="0"/>
        <w:autoSpaceDN w:val="0"/>
        <w:adjustRightInd w:val="0"/>
        <w:snapToGrid w:val="0"/>
        <w:spacing w:line="660" w:lineRule="exact"/>
        <w:jc w:val="both"/>
        <w:textAlignment w:val="auto"/>
        <w:outlineLvl w:val="9"/>
        <w:rPr>
          <w:rFonts w:hint="eastAsia" w:ascii="宋体" w:hAnsi="宋体" w:eastAsia="黑体" w:cs="黑体"/>
          <w:color w:val="auto"/>
          <w:sz w:val="28"/>
          <w:szCs w:val="28"/>
          <w:highlight w:val="none"/>
        </w:rPr>
      </w:pPr>
    </w:p>
    <w:p>
      <w:pPr>
        <w:widowControl w:val="0"/>
        <w:wordWrap/>
        <w:overflowPunct w:val="0"/>
        <w:autoSpaceDE w:val="0"/>
        <w:autoSpaceDN w:val="0"/>
        <w:adjustRightInd w:val="0"/>
        <w:snapToGrid w:val="0"/>
        <w:spacing w:line="660" w:lineRule="exact"/>
        <w:jc w:val="both"/>
        <w:textAlignment w:val="auto"/>
        <w:outlineLvl w:val="9"/>
        <w:rPr>
          <w:rFonts w:hint="eastAsia" w:ascii="宋体" w:hAnsi="宋体" w:eastAsia="黑体" w:cs="黑体"/>
          <w:color w:val="auto"/>
          <w:sz w:val="28"/>
          <w:szCs w:val="28"/>
          <w:highlight w:val="none"/>
        </w:rPr>
      </w:pPr>
    </w:p>
    <w:p>
      <w:pPr>
        <w:widowControl w:val="0"/>
        <w:wordWrap/>
        <w:overflowPunct w:val="0"/>
        <w:autoSpaceDE w:val="0"/>
        <w:autoSpaceDN w:val="0"/>
        <w:adjustRightInd w:val="0"/>
        <w:snapToGrid w:val="0"/>
        <w:spacing w:line="660" w:lineRule="exact"/>
        <w:jc w:val="both"/>
        <w:textAlignment w:val="auto"/>
        <w:outlineLvl w:val="9"/>
        <w:rPr>
          <w:rFonts w:hint="eastAsia" w:ascii="黑体" w:hAnsi="黑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政府性基金预算支出明细表</w:t>
      </w:r>
    </w:p>
    <w:p>
      <w:pPr>
        <w:widowControl w:val="0"/>
        <w:wordWrap/>
        <w:overflowPunct w:val="0"/>
        <w:autoSpaceDE w:val="0"/>
        <w:autoSpaceDN w:val="0"/>
        <w:adjustRightInd w:val="0"/>
        <w:snapToGrid w:val="0"/>
        <w:spacing w:line="660" w:lineRule="exact"/>
        <w:ind w:left="0" w:right="-922" w:rightChars="-439"/>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8"/>
        <w:gridCol w:w="1050"/>
        <w:gridCol w:w="1215"/>
        <w:gridCol w:w="1305"/>
        <w:gridCol w:w="115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35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项   目</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当年收入</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转移支付收入安排数</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上年结转</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kern w:val="0"/>
                <w:sz w:val="21"/>
                <w:szCs w:val="21"/>
                <w:highlight w:val="none"/>
                <w:u w:val="none"/>
                <w:lang w:val="en-US" w:eastAsia="zh-CN"/>
              </w:rPr>
            </w:pPr>
            <w:r>
              <w:rPr>
                <w:rFonts w:hint="eastAsia" w:ascii="黑体" w:hAnsi="宋体" w:eastAsia="黑体" w:cs="黑体"/>
                <w:i w:val="0"/>
                <w:iCs w:val="0"/>
                <w:color w:val="auto"/>
                <w:kern w:val="0"/>
                <w:sz w:val="21"/>
                <w:szCs w:val="21"/>
                <w:highlight w:val="none"/>
                <w:u w:val="none"/>
                <w:lang w:val="en-US" w:eastAsia="zh-CN" w:bidi="ar"/>
              </w:rPr>
              <w:t>债券资金安排数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一、社会保障和就业支出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3031</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2382</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649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大中型水库移民后期扶持基金支出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2912</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2382</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530</w:t>
            </w: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移民补助</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2518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2382</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136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基础设施建设和经济发展</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394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394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小型水库移民扶持基金安排的支出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基础设施建设和经济发展</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auto"/>
                <w:kern w:val="0"/>
                <w:sz w:val="24"/>
                <w:szCs w:val="24"/>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119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二、城乡社区支出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290870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286423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4447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国有土地使用权出让收入安排的支出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271734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267287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4447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征地和拆迁补偿支出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98884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98884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土地开发支出</w:t>
            </w: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3600</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3600 </w:t>
            </w: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城市建设支出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67104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67104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农村基础设施建设支出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11228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10316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912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    补助被征地农民支出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7430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土地出让业务支出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2850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2850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支付破产或改制企业职工安置费</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468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468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    棚户区改造支出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4231</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4231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公共租赁住房支出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2224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2224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农业生产发展支出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4608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4608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政府性基金预算支出明细表</w:t>
      </w:r>
    </w:p>
    <w:p>
      <w:pPr>
        <w:widowControl w:val="0"/>
        <w:wordWrap/>
        <w:overflowPunct w:val="0"/>
        <w:autoSpaceDE w:val="0"/>
        <w:autoSpaceDN w:val="0"/>
        <w:adjustRightInd w:val="0"/>
        <w:snapToGrid w:val="0"/>
        <w:spacing w:line="660" w:lineRule="exact"/>
        <w:ind w:left="0" w:right="-922" w:rightChars="-439"/>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8"/>
        <w:gridCol w:w="1050"/>
        <w:gridCol w:w="1215"/>
        <w:gridCol w:w="1305"/>
        <w:gridCol w:w="115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35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项   目</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当年收入</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转移支付收入安排数</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上年结转</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kern w:val="0"/>
                <w:sz w:val="21"/>
                <w:szCs w:val="21"/>
                <w:highlight w:val="none"/>
                <w:u w:val="none"/>
                <w:lang w:val="en-US" w:eastAsia="zh-CN"/>
              </w:rPr>
            </w:pPr>
            <w:r>
              <w:rPr>
                <w:rFonts w:hint="eastAsia" w:ascii="黑体" w:hAnsi="宋体" w:eastAsia="黑体" w:cs="黑体"/>
                <w:i w:val="0"/>
                <w:iCs w:val="0"/>
                <w:color w:val="auto"/>
                <w:kern w:val="0"/>
                <w:sz w:val="21"/>
                <w:szCs w:val="21"/>
                <w:highlight w:val="none"/>
                <w:u w:val="none"/>
                <w:lang w:val="en-US" w:eastAsia="zh-CN" w:bidi="ar"/>
              </w:rPr>
              <w:t>债券资金安排数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农村社会事业支出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1652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农业农村生态环境支出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2112</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2112 </w:t>
            </w: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其他国有土地使用权出让收入安排的支出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65343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61808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3535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国有土地收益基金安排的支出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征地和拆迁补偿支出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农业土地开发资金安排的支出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1669</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农业土地开发资金安排的支出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1669</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1669</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城市基础设施配套费安排的支出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城市公共设施</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其他城市基础设施配套费安排的支出</w:t>
            </w: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2354</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2354</w:t>
            </w: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污水处理费安排的支出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污水处理设施建设和运营</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三、农林水支出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农村社会事业支出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1652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农业农村生态环境支出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2112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其他国有土地使用权出让收入安排的支出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65343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61808 </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3535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国有土地收益基金安排的支出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征地和拆迁补偿支出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u w:val="none"/>
                <w:lang w:val="en-US" w:eastAsia="zh-CN" w:bidi="ar"/>
              </w:rPr>
            </w:pP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政府性基金预算支出明细表</w:t>
      </w:r>
    </w:p>
    <w:p>
      <w:pPr>
        <w:widowControl w:val="0"/>
        <w:wordWrap/>
        <w:overflowPunct w:val="0"/>
        <w:autoSpaceDE w:val="0"/>
        <w:autoSpaceDN w:val="0"/>
        <w:adjustRightInd w:val="0"/>
        <w:snapToGrid w:val="0"/>
        <w:spacing w:line="660" w:lineRule="exact"/>
        <w:ind w:left="0" w:right="-922" w:rightChars="-439"/>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9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8"/>
        <w:gridCol w:w="1050"/>
        <w:gridCol w:w="1215"/>
        <w:gridCol w:w="1305"/>
        <w:gridCol w:w="115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trPr>
        <w:tc>
          <w:tcPr>
            <w:tcW w:w="35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项   目</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当年收入</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转移支付收入安排数</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上年结转</w:t>
            </w:r>
            <w:r>
              <w:rPr>
                <w:rFonts w:hint="eastAsia" w:ascii="黑体" w:hAnsi="宋体" w:eastAsia="黑体" w:cs="黑体"/>
                <w:i w:val="0"/>
                <w:iCs w:val="0"/>
                <w:color w:val="auto"/>
                <w:kern w:val="0"/>
                <w:sz w:val="21"/>
                <w:szCs w:val="21"/>
                <w:highlight w:val="none"/>
                <w:u w:val="none"/>
                <w:lang w:val="en-US" w:eastAsia="zh-CN" w:bidi="ar"/>
              </w:rPr>
              <w:br w:type="textWrapping"/>
            </w:r>
            <w:r>
              <w:rPr>
                <w:rFonts w:hint="eastAsia" w:ascii="黑体" w:hAnsi="宋体" w:eastAsia="黑体" w:cs="黑体"/>
                <w:i w:val="0"/>
                <w:iCs w:val="0"/>
                <w:color w:val="auto"/>
                <w:kern w:val="0"/>
                <w:sz w:val="21"/>
                <w:szCs w:val="21"/>
                <w:highlight w:val="none"/>
                <w:u w:val="none"/>
                <w:lang w:val="en-US" w:eastAsia="zh-CN" w:bidi="ar"/>
              </w:rPr>
              <w:t>安排数</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kern w:val="0"/>
                <w:sz w:val="21"/>
                <w:szCs w:val="21"/>
                <w:highlight w:val="none"/>
                <w:u w:val="none"/>
                <w:lang w:val="en-US" w:eastAsia="zh-CN"/>
              </w:rPr>
            </w:pPr>
            <w:r>
              <w:rPr>
                <w:rFonts w:hint="eastAsia" w:ascii="黑体" w:hAnsi="宋体" w:eastAsia="黑体" w:cs="黑体"/>
                <w:i w:val="0"/>
                <w:iCs w:val="0"/>
                <w:color w:val="auto"/>
                <w:kern w:val="0"/>
                <w:sz w:val="21"/>
                <w:szCs w:val="21"/>
                <w:highlight w:val="none"/>
                <w:u w:val="none"/>
                <w:lang w:val="en-US" w:eastAsia="zh-CN" w:bidi="ar"/>
              </w:rPr>
              <w:t>债券资金安排数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其他地方自行试点项目收益专项债券收入安排的支出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228176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24676</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彩票发行销售机构业务费安排的支出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福利彩票销售机构的业务费支出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彩票公益金安排的支出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3595</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1828</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1767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用于社会福利的彩票公益金支出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922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473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449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用于体育事业的彩票公益金支出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1221</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1179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用于残疾人事业的彩票公益金支出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用于其他社会公益事业的彩票公益金支出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用于城乡医疗救助的彩票公益金支出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五、债务付息支出</w:t>
            </w: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15106</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15106</w:t>
            </w:r>
          </w:p>
        </w:tc>
        <w:tc>
          <w:tcPr>
            <w:tcW w:w="13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地方政府专项债务付息支出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15106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15106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污水处理费债务付息支出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土地储备专项债券付息支出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3903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3903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t>地方</w:t>
            </w:r>
            <w:r>
              <w:rPr>
                <w:rFonts w:hint="eastAsia" w:ascii="宋体" w:hAnsi="宋体" w:cs="宋体"/>
                <w:i w:val="0"/>
                <w:iCs w:val="0"/>
                <w:color w:val="000000"/>
                <w:kern w:val="0"/>
                <w:sz w:val="24"/>
                <w:szCs w:val="24"/>
                <w:u w:val="none"/>
                <w:lang w:val="en-US" w:eastAsia="zh-CN" w:bidi="ar"/>
              </w:rPr>
              <w:t>自行试点项目收益</w:t>
            </w:r>
            <w:r>
              <w:rPr>
                <w:rFonts w:hint="eastAsia" w:ascii="宋体" w:hAnsi="宋体" w:eastAsia="宋体" w:cs="宋体"/>
                <w:i w:val="0"/>
                <w:iCs w:val="0"/>
                <w:color w:val="000000"/>
                <w:kern w:val="0"/>
                <w:sz w:val="24"/>
                <w:szCs w:val="24"/>
                <w:u w:val="none"/>
                <w:lang w:val="en-US" w:eastAsia="zh-CN" w:bidi="ar"/>
              </w:rPr>
              <w:t>专项债</w:t>
            </w:r>
            <w:r>
              <w:rPr>
                <w:rFonts w:hint="eastAsia" w:ascii="宋体" w:hAnsi="宋体" w:cs="宋体"/>
                <w:i w:val="0"/>
                <w:iCs w:val="0"/>
                <w:color w:val="000000"/>
                <w:kern w:val="0"/>
                <w:sz w:val="24"/>
                <w:szCs w:val="24"/>
                <w:u w:val="none"/>
                <w:lang w:val="en-US" w:eastAsia="zh-CN" w:bidi="ar"/>
              </w:rPr>
              <w:t>券</w:t>
            </w:r>
            <w:r>
              <w:rPr>
                <w:rFonts w:hint="eastAsia" w:ascii="宋体" w:hAnsi="宋体" w:eastAsia="宋体" w:cs="宋体"/>
                <w:i w:val="0"/>
                <w:iCs w:val="0"/>
                <w:color w:val="000000"/>
                <w:kern w:val="0"/>
                <w:sz w:val="24"/>
                <w:szCs w:val="24"/>
                <w:u w:val="none"/>
                <w:lang w:val="en-US" w:eastAsia="zh-CN" w:bidi="ar"/>
              </w:rPr>
              <w:t>付息支</w:t>
            </w:r>
            <w:r>
              <w:rPr>
                <w:rFonts w:hint="eastAsia" w:ascii="宋体" w:hAnsi="宋体" w:cs="宋体"/>
                <w:i w:val="0"/>
                <w:iCs w:val="0"/>
                <w:color w:val="000000"/>
                <w:kern w:val="0"/>
                <w:sz w:val="24"/>
                <w:szCs w:val="24"/>
                <w:u w:val="none"/>
                <w:lang w:val="en-US" w:eastAsia="zh-CN" w:bidi="ar"/>
              </w:rPr>
              <w:t>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11133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11133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541106</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301529</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4336</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31741</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203500</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spacing w:line="600" w:lineRule="exact"/>
        <w:ind w:left="0" w:leftChars="0"/>
        <w:jc w:val="both"/>
        <w:textAlignment w:val="auto"/>
        <w:outlineLvl w:val="9"/>
        <w:rPr>
          <w:rFonts w:hint="eastAsia" w:ascii="宋体" w:hAnsi="宋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年提前通知政府性基金转移支付预算表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85"/>
        <w:gridCol w:w="3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中央、省对我市转移支付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社会保障和就业支出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大中型水库移民后期扶持</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农林水支出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大中型水库库区基金</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彩票公益金支持社会事业发展专项</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1828</w:t>
            </w:r>
          </w:p>
        </w:tc>
      </w:tr>
    </w:tbl>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br w:type="page"/>
      </w:r>
      <w:r>
        <w:rPr>
          <w:rFonts w:hint="eastAsia" w:ascii="方正小标宋简体" w:hAnsi="方正小标宋简体" w:eastAsia="方正小标宋简体" w:cs="方正小标宋简体"/>
          <w:b w:val="0"/>
          <w:bCs/>
          <w:color w:val="auto"/>
          <w:kern w:val="0"/>
          <w:sz w:val="44"/>
          <w:szCs w:val="44"/>
          <w:highlight w:val="none"/>
          <w:lang w:val="en-US" w:eastAsia="zh-CN"/>
        </w:rPr>
        <w:t>关于2022年市级政府性基金预算收支</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情况的说明</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zh-CN" w:eastAsia="zh-CN"/>
        </w:rPr>
      </w:pPr>
      <w:r>
        <w:rPr>
          <w:rFonts w:hint="eastAsia" w:ascii="黑体" w:hAnsi="黑体" w:eastAsia="黑体" w:cs="黑体"/>
          <w:color w:val="auto"/>
          <w:kern w:val="0"/>
          <w:sz w:val="32"/>
          <w:szCs w:val="32"/>
          <w:highlight w:val="none"/>
          <w:lang w:val="zh-CN" w:eastAsia="zh-CN"/>
        </w:rPr>
        <w:t>一、20</w:t>
      </w:r>
      <w:r>
        <w:rPr>
          <w:rFonts w:hint="eastAsia" w:ascii="黑体" w:hAnsi="黑体" w:eastAsia="黑体" w:cs="黑体"/>
          <w:color w:val="auto"/>
          <w:kern w:val="0"/>
          <w:sz w:val="32"/>
          <w:szCs w:val="32"/>
          <w:highlight w:val="none"/>
          <w:lang w:val="en-US" w:eastAsia="zh-CN"/>
        </w:rPr>
        <w:t>22</w:t>
      </w:r>
      <w:r>
        <w:rPr>
          <w:rFonts w:hint="eastAsia" w:ascii="黑体" w:hAnsi="黑体" w:eastAsia="黑体" w:cs="黑体"/>
          <w:color w:val="auto"/>
          <w:kern w:val="0"/>
          <w:sz w:val="32"/>
          <w:szCs w:val="32"/>
          <w:highlight w:val="none"/>
          <w:lang w:val="zh-CN" w:eastAsia="zh-CN"/>
        </w:rPr>
        <w:t>年市级政府性基金预算收入情况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zh-CN" w:eastAsia="zh-CN"/>
        </w:rPr>
        <w:t>20</w:t>
      </w:r>
      <w:r>
        <w:rPr>
          <w:rFonts w:hint="eastAsia" w:ascii="Times New Roman" w:hAnsi="Times New Roman" w:eastAsia="仿宋_GB2312" w:cs="仿宋_GB2312"/>
          <w:color w:val="auto"/>
          <w:kern w:val="0"/>
          <w:sz w:val="32"/>
          <w:szCs w:val="32"/>
          <w:highlight w:val="none"/>
          <w:lang w:val="en-US" w:eastAsia="zh-CN"/>
        </w:rPr>
        <w:t>22</w:t>
      </w:r>
      <w:r>
        <w:rPr>
          <w:rFonts w:hint="eastAsia" w:ascii="Times New Roman" w:hAnsi="Times New Roman" w:eastAsia="仿宋_GB2312" w:cs="仿宋_GB2312"/>
          <w:color w:val="auto"/>
          <w:kern w:val="0"/>
          <w:sz w:val="32"/>
          <w:szCs w:val="32"/>
          <w:highlight w:val="none"/>
          <w:lang w:val="zh-CN" w:eastAsia="zh-CN"/>
        </w:rPr>
        <w:t>年市级政府性基金预算收入总计</w:t>
      </w:r>
      <w:r>
        <w:rPr>
          <w:rFonts w:hint="eastAsia" w:ascii="Times New Roman" w:hAnsi="Times New Roman" w:eastAsia="仿宋_GB2312" w:cs="仿宋_GB2312"/>
          <w:color w:val="auto"/>
          <w:kern w:val="0"/>
          <w:sz w:val="32"/>
          <w:szCs w:val="32"/>
          <w:highlight w:val="none"/>
          <w:lang w:val="en-US" w:eastAsia="zh-CN"/>
        </w:rPr>
        <w:t>626591万元，其中：本级收入367614</w:t>
      </w:r>
      <w:r>
        <w:rPr>
          <w:rFonts w:hint="eastAsia" w:ascii="Times New Roman" w:hAnsi="Times New Roman" w:eastAsia="仿宋_GB2312" w:cs="仿宋_GB2312"/>
          <w:color w:val="auto"/>
          <w:kern w:val="0"/>
          <w:sz w:val="32"/>
          <w:szCs w:val="32"/>
          <w:highlight w:val="none"/>
          <w:lang w:val="zh-CN" w:eastAsia="zh-CN"/>
        </w:rPr>
        <w:t>万元，上级补助收入</w:t>
      </w:r>
      <w:r>
        <w:rPr>
          <w:rFonts w:hint="eastAsia" w:ascii="Times New Roman" w:hAnsi="Times New Roman" w:eastAsia="仿宋_GB2312" w:cs="仿宋_GB2312"/>
          <w:color w:val="auto"/>
          <w:kern w:val="0"/>
          <w:sz w:val="32"/>
          <w:szCs w:val="32"/>
          <w:highlight w:val="none"/>
          <w:lang w:val="en-US" w:eastAsia="zh-CN"/>
        </w:rPr>
        <w:t>4336万元，上年结转31741万元，地方政府专项债务转贷收入222900万元。</w:t>
      </w:r>
    </w:p>
    <w:p>
      <w:pPr>
        <w:widowControl w:val="0"/>
        <w:wordWrap/>
        <w:overflowPunct w:val="0"/>
        <w:autoSpaceDE w:val="0"/>
        <w:autoSpaceDN w:val="0"/>
        <w:adjustRightInd w:val="0"/>
        <w:snapToGrid w:val="0"/>
        <w:spacing w:line="660" w:lineRule="exact"/>
        <w:ind w:left="0" w:lef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zh-CN" w:eastAsia="zh-CN"/>
        </w:rPr>
      </w:pP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lang w:val="zh-CN" w:eastAsia="zh-CN"/>
        </w:rPr>
        <w:t>市级收入主要项目情况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zh-CN" w:eastAsia="zh-CN"/>
        </w:rPr>
      </w:pPr>
      <w:r>
        <w:rPr>
          <w:rFonts w:hint="eastAsia" w:ascii="Times New Roman" w:hAnsi="Times New Roman" w:eastAsia="仿宋_GB2312" w:cs="仿宋_GB2312"/>
          <w:color w:val="auto"/>
          <w:kern w:val="0"/>
          <w:sz w:val="32"/>
          <w:szCs w:val="32"/>
          <w:highlight w:val="none"/>
          <w:lang w:val="en-US" w:eastAsia="zh-CN"/>
        </w:rPr>
        <w:t>收入预算367614</w:t>
      </w:r>
      <w:r>
        <w:rPr>
          <w:rFonts w:hint="eastAsia" w:ascii="Times New Roman" w:hAnsi="Times New Roman" w:eastAsia="仿宋_GB2312" w:cs="仿宋_GB2312"/>
          <w:color w:val="auto"/>
          <w:kern w:val="0"/>
          <w:sz w:val="32"/>
          <w:szCs w:val="32"/>
          <w:highlight w:val="none"/>
          <w:lang w:val="zh-CN" w:eastAsia="zh-CN"/>
        </w:rPr>
        <w:t>万元，比20</w:t>
      </w:r>
      <w:r>
        <w:rPr>
          <w:rFonts w:hint="eastAsia" w:ascii="Times New Roman" w:hAnsi="Times New Roman" w:eastAsia="仿宋_GB2312" w:cs="仿宋_GB2312"/>
          <w:color w:val="auto"/>
          <w:kern w:val="0"/>
          <w:sz w:val="32"/>
          <w:szCs w:val="32"/>
          <w:highlight w:val="none"/>
          <w:lang w:val="en-US" w:eastAsia="zh-CN"/>
        </w:rPr>
        <w:t>21</w:t>
      </w:r>
      <w:r>
        <w:rPr>
          <w:rFonts w:hint="eastAsia" w:ascii="Times New Roman" w:hAnsi="Times New Roman" w:eastAsia="仿宋_GB2312" w:cs="仿宋_GB2312"/>
          <w:color w:val="auto"/>
          <w:kern w:val="0"/>
          <w:sz w:val="32"/>
          <w:szCs w:val="32"/>
          <w:highlight w:val="none"/>
          <w:lang w:val="zh-CN" w:eastAsia="zh-CN"/>
        </w:rPr>
        <w:t>年完成数增加</w:t>
      </w:r>
      <w:r>
        <w:rPr>
          <w:rFonts w:hint="eastAsia" w:ascii="Times New Roman" w:hAnsi="Times New Roman" w:eastAsia="仿宋_GB2312" w:cs="仿宋_GB2312"/>
          <w:color w:val="auto"/>
          <w:kern w:val="0"/>
          <w:sz w:val="32"/>
          <w:szCs w:val="32"/>
          <w:highlight w:val="none"/>
          <w:lang w:val="en-US" w:eastAsia="zh-CN"/>
        </w:rPr>
        <w:t>231838</w:t>
      </w:r>
      <w:r>
        <w:rPr>
          <w:rFonts w:hint="eastAsia" w:ascii="Times New Roman" w:hAnsi="Times New Roman" w:eastAsia="仿宋_GB2312" w:cs="仿宋_GB2312"/>
          <w:color w:val="auto"/>
          <w:kern w:val="0"/>
          <w:sz w:val="32"/>
          <w:szCs w:val="32"/>
          <w:highlight w:val="none"/>
          <w:lang w:val="zh-CN" w:eastAsia="zh-CN"/>
        </w:rPr>
        <w:t>万元，增长</w:t>
      </w:r>
      <w:r>
        <w:rPr>
          <w:rFonts w:hint="eastAsia" w:ascii="Times New Roman" w:hAnsi="Times New Roman" w:eastAsia="仿宋_GB2312" w:cs="仿宋_GB2312"/>
          <w:color w:val="auto"/>
          <w:kern w:val="0"/>
          <w:sz w:val="32"/>
          <w:szCs w:val="32"/>
          <w:highlight w:val="none"/>
          <w:lang w:val="en-US" w:eastAsia="zh-CN"/>
        </w:rPr>
        <w:t>170.8%</w:t>
      </w:r>
      <w:r>
        <w:rPr>
          <w:rFonts w:hint="eastAsia" w:ascii="Times New Roman" w:hAnsi="Times New Roman" w:eastAsia="仿宋_GB2312" w:cs="仿宋_GB2312"/>
          <w:color w:val="auto"/>
          <w:kern w:val="0"/>
          <w:sz w:val="32"/>
          <w:szCs w:val="32"/>
          <w:highlight w:val="none"/>
          <w:lang w:val="zh-CN" w:eastAsia="zh-CN"/>
        </w:rPr>
        <w:t>。</w:t>
      </w:r>
      <w:r>
        <w:rPr>
          <w:rFonts w:hint="eastAsia" w:ascii="Times New Roman" w:hAnsi="Times New Roman" w:eastAsia="仿宋_GB2312" w:cs="仿宋_GB2312"/>
          <w:color w:val="auto"/>
          <w:kern w:val="0"/>
          <w:sz w:val="32"/>
          <w:szCs w:val="32"/>
          <w:highlight w:val="none"/>
          <w:lang w:val="en-US" w:eastAsia="zh-CN"/>
        </w:rPr>
        <w:t>主要项目情况是：</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lang w:val="zh-CN" w:eastAsia="zh-CN"/>
        </w:rPr>
        <w:t>国有土地使用权出让金收入</w:t>
      </w:r>
      <w:r>
        <w:rPr>
          <w:rFonts w:hint="eastAsia" w:ascii="Times New Roman" w:hAnsi="Times New Roman" w:eastAsia="仿宋_GB2312" w:cs="仿宋_GB2312"/>
          <w:color w:val="auto"/>
          <w:kern w:val="0"/>
          <w:sz w:val="32"/>
          <w:szCs w:val="32"/>
          <w:highlight w:val="none"/>
          <w:lang w:val="en-US" w:eastAsia="zh-CN"/>
        </w:rPr>
        <w:t>337275</w:t>
      </w:r>
      <w:r>
        <w:rPr>
          <w:rFonts w:hint="eastAsia" w:ascii="Times New Roman" w:hAnsi="Times New Roman" w:eastAsia="仿宋_GB2312" w:cs="仿宋_GB2312"/>
          <w:color w:val="auto"/>
          <w:kern w:val="0"/>
          <w:sz w:val="32"/>
          <w:szCs w:val="32"/>
          <w:highlight w:val="none"/>
          <w:lang w:val="zh-CN" w:eastAsia="zh-CN"/>
        </w:rPr>
        <w:t>万元，增加</w:t>
      </w:r>
      <w:r>
        <w:rPr>
          <w:rFonts w:hint="eastAsia" w:ascii="Times New Roman" w:hAnsi="Times New Roman" w:eastAsia="仿宋_GB2312" w:cs="仿宋_GB2312"/>
          <w:color w:val="auto"/>
          <w:kern w:val="0"/>
          <w:sz w:val="32"/>
          <w:szCs w:val="32"/>
          <w:highlight w:val="none"/>
          <w:lang w:val="en-US" w:eastAsia="zh-CN"/>
        </w:rPr>
        <w:t>220743万元，增长189.4%。</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2.国有土地收益基金收入6467万元，</w:t>
      </w:r>
      <w:r>
        <w:rPr>
          <w:rFonts w:hint="eastAsia" w:ascii="Times New Roman" w:hAnsi="Times New Roman" w:eastAsia="仿宋_GB2312" w:cs="仿宋_GB2312"/>
          <w:color w:val="auto"/>
          <w:kern w:val="0"/>
          <w:sz w:val="32"/>
          <w:szCs w:val="32"/>
          <w:highlight w:val="none"/>
          <w:lang w:val="zh-CN" w:eastAsia="zh-CN"/>
        </w:rPr>
        <w:t>增加</w:t>
      </w:r>
      <w:r>
        <w:rPr>
          <w:rFonts w:hint="eastAsia" w:ascii="Times New Roman" w:hAnsi="Times New Roman" w:eastAsia="仿宋_GB2312" w:cs="仿宋_GB2312"/>
          <w:color w:val="auto"/>
          <w:kern w:val="0"/>
          <w:sz w:val="32"/>
          <w:szCs w:val="32"/>
          <w:highlight w:val="none"/>
          <w:lang w:val="en-US" w:eastAsia="zh-CN"/>
        </w:rPr>
        <w:t>3947万元，增长156.6%。</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3.农业土地开发资金收入1669万元，</w:t>
      </w:r>
      <w:r>
        <w:rPr>
          <w:rFonts w:hint="eastAsia" w:ascii="Times New Roman" w:hAnsi="Times New Roman" w:eastAsia="仿宋_GB2312" w:cs="仿宋_GB2312"/>
          <w:color w:val="auto"/>
          <w:kern w:val="0"/>
          <w:sz w:val="32"/>
          <w:szCs w:val="32"/>
          <w:highlight w:val="none"/>
          <w:lang w:val="zh-CN" w:eastAsia="zh-CN"/>
        </w:rPr>
        <w:t>减少</w:t>
      </w:r>
      <w:r>
        <w:rPr>
          <w:rFonts w:hint="eastAsia" w:ascii="Times New Roman" w:hAnsi="Times New Roman" w:eastAsia="仿宋_GB2312" w:cs="仿宋_GB2312"/>
          <w:color w:val="auto"/>
          <w:kern w:val="0"/>
          <w:sz w:val="32"/>
          <w:szCs w:val="32"/>
          <w:highlight w:val="none"/>
          <w:lang w:val="en-US" w:eastAsia="zh-CN"/>
        </w:rPr>
        <w:t>7万元，下降0.4%。</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lang w:val="zh-CN" w:eastAsia="zh-CN"/>
        </w:rPr>
        <w:t>城市基础设施配套费收入</w:t>
      </w:r>
      <w:r>
        <w:rPr>
          <w:rFonts w:hint="eastAsia" w:ascii="Times New Roman" w:hAnsi="Times New Roman" w:eastAsia="仿宋_GB2312" w:cs="仿宋_GB2312"/>
          <w:color w:val="auto"/>
          <w:kern w:val="0"/>
          <w:sz w:val="32"/>
          <w:szCs w:val="32"/>
          <w:highlight w:val="none"/>
          <w:lang w:val="en-US" w:eastAsia="zh-CN"/>
        </w:rPr>
        <w:t>7000</w:t>
      </w:r>
      <w:r>
        <w:rPr>
          <w:rFonts w:hint="eastAsia" w:ascii="Times New Roman" w:hAnsi="Times New Roman" w:eastAsia="仿宋_GB2312" w:cs="仿宋_GB2312"/>
          <w:color w:val="auto"/>
          <w:kern w:val="0"/>
          <w:sz w:val="32"/>
          <w:szCs w:val="32"/>
          <w:highlight w:val="none"/>
          <w:lang w:val="zh-CN" w:eastAsia="zh-CN"/>
        </w:rPr>
        <w:t>万元，与上年基本持平</w:t>
      </w:r>
      <w:r>
        <w:rPr>
          <w:rFonts w:hint="eastAsia" w:ascii="Times New Roman" w:hAnsi="Times New Roman" w:eastAsia="仿宋_GB2312" w:cs="仿宋_GB2312"/>
          <w:color w:val="auto"/>
          <w:kern w:val="0"/>
          <w:sz w:val="32"/>
          <w:szCs w:val="32"/>
          <w:highlight w:val="none"/>
          <w:lang w:val="en-US" w:eastAsia="zh-CN"/>
        </w:rPr>
        <w:t>。</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5.污水处理费收入4070万元，增加76万元，增长1.9%。</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color w:val="auto"/>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6.其他政府性基金专项债务对应项目专项收入11133万元，增加7075万元，增长1.7倍。</w:t>
      </w:r>
    </w:p>
    <w:p>
      <w:pPr>
        <w:widowControl w:val="0"/>
        <w:wordWrap/>
        <w:overflowPunct w:val="0"/>
        <w:autoSpaceDE w:val="0"/>
        <w:autoSpaceDN w:val="0"/>
        <w:adjustRightInd w:val="0"/>
        <w:snapToGrid w:val="0"/>
        <w:spacing w:line="660" w:lineRule="exact"/>
        <w:ind w:left="0" w:lef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（二）上级补助收入项目情况</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上级补助收入4336万元，其中：大中型水库移民后期扶持2382万元，基础设施建设和经济发展支出126万元，彩票公益金支持社会事业发展专项1828万元。</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（三）上年结转结余收入项目情况</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上年结转结余资金31741万元，主要是大中型水库移民后期扶持基金支出530万元，小型水库移民扶助基金安排的支出119万元，国有土地使用权出让收入安排的支出4447万元，大中型水库库区基金安排的支出157万元，车辆通行费安排的支出30万元，其他政府性基金及对应专项债务收入安排的支出24706万元，彩票公益金安排的支出1767万元，彩票发行销售机构业务费安排的支出15万元。</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黑体" w:hAnsi="黑体" w:eastAsia="黑体" w:cs="黑体"/>
          <w:color w:val="auto"/>
          <w:kern w:val="0"/>
          <w:sz w:val="32"/>
          <w:szCs w:val="32"/>
          <w:highlight w:val="none"/>
          <w:lang w:val="zh-CN" w:eastAsia="zh-CN"/>
        </w:rPr>
      </w:pPr>
      <w:r>
        <w:rPr>
          <w:rFonts w:hint="eastAsia" w:ascii="黑体" w:hAnsi="黑体" w:eastAsia="黑体" w:cs="黑体"/>
          <w:color w:val="auto"/>
          <w:kern w:val="0"/>
          <w:sz w:val="32"/>
          <w:szCs w:val="32"/>
          <w:highlight w:val="none"/>
          <w:lang w:val="zh-CN" w:eastAsia="zh-CN"/>
        </w:rPr>
        <w:t>二、20</w:t>
      </w:r>
      <w:r>
        <w:rPr>
          <w:rFonts w:hint="eastAsia" w:ascii="黑体" w:hAnsi="黑体" w:eastAsia="黑体" w:cs="黑体"/>
          <w:color w:val="auto"/>
          <w:kern w:val="0"/>
          <w:sz w:val="32"/>
          <w:szCs w:val="32"/>
          <w:highlight w:val="none"/>
          <w:lang w:val="en-US" w:eastAsia="zh-CN"/>
        </w:rPr>
        <w:t>22</w:t>
      </w:r>
      <w:r>
        <w:rPr>
          <w:rFonts w:hint="eastAsia" w:ascii="黑体" w:hAnsi="黑体" w:eastAsia="黑体" w:cs="黑体"/>
          <w:color w:val="auto"/>
          <w:kern w:val="0"/>
          <w:sz w:val="32"/>
          <w:szCs w:val="32"/>
          <w:highlight w:val="none"/>
          <w:lang w:val="zh-CN" w:eastAsia="zh-CN"/>
        </w:rPr>
        <w:t>年市级政府性基金预算支出情况</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zh-CN" w:eastAsia="zh-CN"/>
        </w:rPr>
      </w:pPr>
      <w:r>
        <w:rPr>
          <w:rFonts w:hint="eastAsia" w:ascii="Times New Roman" w:hAnsi="Times New Roman" w:eastAsia="仿宋_GB2312" w:cs="仿宋_GB2312"/>
          <w:color w:val="auto"/>
          <w:kern w:val="0"/>
          <w:sz w:val="32"/>
          <w:szCs w:val="32"/>
          <w:highlight w:val="none"/>
          <w:lang w:val="zh-CN" w:eastAsia="zh-CN"/>
        </w:rPr>
        <w:t>20</w:t>
      </w:r>
      <w:r>
        <w:rPr>
          <w:rFonts w:hint="eastAsia" w:ascii="Times New Roman" w:hAnsi="Times New Roman" w:eastAsia="仿宋_GB2312" w:cs="仿宋_GB2312"/>
          <w:color w:val="auto"/>
          <w:kern w:val="0"/>
          <w:sz w:val="32"/>
          <w:szCs w:val="32"/>
          <w:highlight w:val="none"/>
          <w:lang w:val="en-US" w:eastAsia="zh-CN"/>
        </w:rPr>
        <w:t>22</w:t>
      </w:r>
      <w:r>
        <w:rPr>
          <w:rFonts w:hint="eastAsia" w:ascii="Times New Roman" w:hAnsi="Times New Roman" w:eastAsia="仿宋_GB2312" w:cs="仿宋_GB2312"/>
          <w:color w:val="auto"/>
          <w:kern w:val="0"/>
          <w:sz w:val="32"/>
          <w:szCs w:val="32"/>
          <w:highlight w:val="none"/>
          <w:lang w:val="zh-CN" w:eastAsia="zh-CN"/>
        </w:rPr>
        <w:t>年市级政府性基金预算支出总计</w:t>
      </w:r>
      <w:r>
        <w:rPr>
          <w:rFonts w:hint="eastAsia" w:ascii="Times New Roman" w:hAnsi="Times New Roman" w:eastAsia="仿宋_GB2312" w:cs="仿宋_GB2312"/>
          <w:color w:val="auto"/>
          <w:kern w:val="0"/>
          <w:sz w:val="32"/>
          <w:szCs w:val="32"/>
          <w:highlight w:val="none"/>
          <w:lang w:val="en-US" w:eastAsia="zh-CN"/>
        </w:rPr>
        <w:t>626591</w:t>
      </w:r>
      <w:r>
        <w:rPr>
          <w:rFonts w:hint="eastAsia" w:ascii="Times New Roman" w:hAnsi="Times New Roman" w:eastAsia="仿宋_GB2312" w:cs="仿宋_GB2312"/>
          <w:color w:val="auto"/>
          <w:kern w:val="0"/>
          <w:sz w:val="32"/>
          <w:szCs w:val="32"/>
          <w:highlight w:val="none"/>
          <w:lang w:val="zh-CN" w:eastAsia="zh-CN"/>
        </w:rPr>
        <w:t>万元，其中：本级支出</w:t>
      </w:r>
      <w:r>
        <w:rPr>
          <w:rFonts w:hint="eastAsia" w:ascii="Times New Roman" w:hAnsi="Times New Roman" w:eastAsia="仿宋_GB2312" w:cs="仿宋_GB2312"/>
          <w:color w:val="auto"/>
          <w:kern w:val="0"/>
          <w:sz w:val="32"/>
          <w:szCs w:val="32"/>
          <w:highlight w:val="none"/>
          <w:lang w:val="en-US" w:eastAsia="zh-CN"/>
        </w:rPr>
        <w:t>541106</w:t>
      </w:r>
      <w:r>
        <w:rPr>
          <w:rFonts w:hint="eastAsia" w:ascii="Times New Roman" w:hAnsi="Times New Roman" w:eastAsia="仿宋_GB2312" w:cs="仿宋_GB2312"/>
          <w:color w:val="auto"/>
          <w:kern w:val="0"/>
          <w:sz w:val="32"/>
          <w:szCs w:val="32"/>
          <w:highlight w:val="none"/>
          <w:lang w:val="zh-CN" w:eastAsia="zh-CN"/>
        </w:rPr>
        <w:t>万元，</w:t>
      </w:r>
      <w:r>
        <w:rPr>
          <w:rFonts w:hint="eastAsia" w:ascii="Times New Roman" w:hAnsi="Times New Roman" w:eastAsia="仿宋_GB2312" w:cs="仿宋_GB2312"/>
          <w:color w:val="auto"/>
          <w:kern w:val="0"/>
          <w:sz w:val="32"/>
          <w:szCs w:val="32"/>
          <w:highlight w:val="none"/>
          <w:lang w:val="en-US" w:eastAsia="zh-CN"/>
        </w:rPr>
        <w:t>债务还本支出14749万元，上解支出250万元，调出资金42935万元，补助乡镇8151万元，债务转贷支出19400万元</w:t>
      </w:r>
      <w:r>
        <w:rPr>
          <w:rFonts w:hint="eastAsia" w:ascii="Times New Roman" w:hAnsi="Times New Roman" w:eastAsia="仿宋_GB2312" w:cs="仿宋_GB2312"/>
          <w:color w:val="auto"/>
          <w:kern w:val="0"/>
          <w:sz w:val="32"/>
          <w:szCs w:val="32"/>
          <w:highlight w:val="none"/>
          <w:lang w:val="zh-CN" w:eastAsia="zh-CN"/>
        </w:rPr>
        <w:t>。主要支出项目如下：</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1.大中型水库移民后期扶持基金支出2912万元。</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2.小型水库移民扶持基金安排的支出119万元。</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3.国有土地使用权出让金支出271734万元。</w:t>
      </w:r>
    </w:p>
    <w:p>
      <w:pPr>
        <w:keepNext w:val="0"/>
        <w:keepLines w:val="0"/>
        <w:pageBreakBefore w:val="0"/>
        <w:widowControl w:val="0"/>
        <w:kinsoku/>
        <w:wordWrap/>
        <w:overflowPunct w:val="0"/>
        <w:topLinePunct w:val="0"/>
        <w:autoSpaceDE w:val="0"/>
        <w:autoSpaceDN w:val="0"/>
        <w:bidi w:val="0"/>
        <w:adjustRightInd w:val="0"/>
        <w:snapToGrid w:val="0"/>
        <w:spacing w:line="65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4.国有土地收益基金支出6467万元。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5.农业土地开发资金安排的支出1669万元。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6.城市基础设施配套费收入安排的支出7000万元。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7.污水处理费收入安排的支出4000万元。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8.大中型水库库区基金安排的支出283万元。</w:t>
      </w:r>
    </w:p>
    <w:p>
      <w:pPr>
        <w:widowControl w:val="0"/>
        <w:wordWrap/>
        <w:overflowPunct w:val="0"/>
        <w:autoSpaceDE w:val="0"/>
        <w:autoSpaceDN w:val="0"/>
        <w:adjustRightInd w:val="0"/>
        <w:snapToGrid w:val="0"/>
        <w:spacing w:line="660" w:lineRule="exact"/>
        <w:ind w:left="0" w:leftChars="0" w:firstLine="664" w:firstLineChars="200"/>
        <w:jc w:val="both"/>
        <w:textAlignment w:val="auto"/>
        <w:outlineLvl w:val="9"/>
        <w:rPr>
          <w:rFonts w:hint="eastAsia" w:ascii="Times New Roman" w:hAnsi="Times New Roman" w:eastAsia="仿宋_GB2312" w:cs="仿宋_GB2312"/>
          <w:color w:val="auto"/>
          <w:spacing w:val="6"/>
          <w:kern w:val="0"/>
          <w:sz w:val="32"/>
          <w:szCs w:val="32"/>
          <w:highlight w:val="none"/>
          <w:lang w:val="en-US" w:eastAsia="zh-CN"/>
        </w:rPr>
      </w:pPr>
      <w:r>
        <w:rPr>
          <w:rFonts w:hint="eastAsia" w:ascii="Times New Roman" w:hAnsi="Times New Roman" w:eastAsia="仿宋_GB2312" w:cs="仿宋_GB2312"/>
          <w:color w:val="auto"/>
          <w:spacing w:val="6"/>
          <w:kern w:val="0"/>
          <w:sz w:val="32"/>
          <w:szCs w:val="32"/>
          <w:highlight w:val="none"/>
          <w:lang w:val="en-US" w:eastAsia="zh-CN"/>
        </w:rPr>
        <w:t>9.其他政府性基金及对应专项债务收入安排的支出228206万元。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10.彩票公益金安排的支出3595万元。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11.</w:t>
      </w:r>
      <w:r>
        <w:rPr>
          <w:rFonts w:hint="eastAsia" w:ascii="宋体" w:hAnsi="宋体" w:eastAsia="仿宋_GB2312" w:cs="仿宋_GB2312"/>
          <w:color w:val="auto"/>
          <w:kern w:val="0"/>
          <w:sz w:val="32"/>
          <w:szCs w:val="32"/>
          <w:highlight w:val="none"/>
          <w:lang w:val="en-US" w:eastAsia="zh-CN"/>
        </w:rPr>
        <w:t>污水处理费债务付息支出</w:t>
      </w:r>
      <w:r>
        <w:rPr>
          <w:rFonts w:hint="eastAsia" w:ascii="Times New Roman" w:hAnsi="Times New Roman" w:eastAsia="仿宋_GB2312" w:cs="仿宋_GB2312"/>
          <w:color w:val="auto"/>
          <w:kern w:val="0"/>
          <w:sz w:val="32"/>
          <w:szCs w:val="32"/>
          <w:highlight w:val="none"/>
          <w:lang w:val="en-US" w:eastAsia="zh-CN"/>
        </w:rPr>
        <w:t>70</w:t>
      </w:r>
      <w:r>
        <w:rPr>
          <w:rFonts w:hint="eastAsia" w:ascii="宋体" w:hAnsi="宋体" w:eastAsia="仿宋_GB2312" w:cs="仿宋_GB2312"/>
          <w:color w:val="auto"/>
          <w:kern w:val="0"/>
          <w:sz w:val="32"/>
          <w:szCs w:val="32"/>
          <w:highlight w:val="none"/>
          <w:lang w:val="en-US" w:eastAsia="zh-CN"/>
        </w:rPr>
        <w:t>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12.土地储备专项债券付息支出3903万元。</w:t>
      </w:r>
    </w:p>
    <w:p>
      <w:pPr>
        <w:widowControl w:val="0"/>
        <w:wordWrap/>
        <w:overflowPunct w:val="0"/>
        <w:autoSpaceDE w:val="0"/>
        <w:autoSpaceDN w:val="0"/>
        <w:adjustRightInd w:val="0"/>
        <w:snapToGrid w:val="0"/>
        <w:spacing w:line="660" w:lineRule="exact"/>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spacing w:val="11"/>
          <w:kern w:val="0"/>
          <w:sz w:val="32"/>
          <w:szCs w:val="32"/>
          <w:highlight w:val="none"/>
          <w:lang w:val="en-US" w:eastAsia="zh-CN"/>
        </w:rPr>
        <w:t xml:space="preserve">   13.其他地方自行试点项目收益专项债券付息支出11133万元</w:t>
      </w:r>
      <w:r>
        <w:rPr>
          <w:rFonts w:hint="eastAsia" w:ascii="Times New Roman" w:hAnsi="Times New Roman" w:eastAsia="仿宋_GB2312" w:cs="仿宋_GB2312"/>
          <w:color w:val="auto"/>
          <w:kern w:val="0"/>
          <w:sz w:val="32"/>
          <w:szCs w:val="32"/>
          <w:highlight w:val="none"/>
          <w:lang w:val="en-US" w:eastAsia="zh-CN"/>
        </w:rPr>
        <w:t>。</w:t>
      </w: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pStyle w:val="3"/>
        <w:rPr>
          <w:rFonts w:hint="eastAsia" w:ascii="黑体" w:hAnsi="黑体" w:eastAsia="黑体" w:cs="黑体"/>
          <w:color w:val="auto"/>
          <w:sz w:val="28"/>
          <w:szCs w:val="28"/>
          <w:highlight w:val="none"/>
        </w:rPr>
      </w:pPr>
    </w:p>
    <w:p>
      <w:pPr>
        <w:rPr>
          <w:rFonts w:hint="eastAsia"/>
        </w:rPr>
      </w:pPr>
    </w:p>
    <w:p>
      <w:pPr>
        <w:widowControl w:val="0"/>
        <w:wordWrap/>
        <w:overflowPunct w:val="0"/>
        <w:autoSpaceDE w:val="0"/>
        <w:autoSpaceDN w:val="0"/>
        <w:adjustRightInd w:val="0"/>
        <w:snapToGrid w:val="0"/>
        <w:spacing w:line="660" w:lineRule="exact"/>
        <w:ind w:left="0" w:leftChars="0" w:firstLine="560" w:firstLineChars="200"/>
        <w:jc w:val="both"/>
        <w:textAlignment w:val="auto"/>
        <w:outlineLvl w:val="9"/>
        <w:rPr>
          <w:rFonts w:hint="eastAsia" w:ascii="黑体" w:hAnsi="黑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overflowPunct w:val="0"/>
        <w:autoSpaceDE w:val="0"/>
        <w:autoSpaceDN w:val="0"/>
        <w:adjustRightInd w:val="0"/>
        <w:snapToGrid w:val="0"/>
        <w:spacing w:line="660" w:lineRule="exact"/>
        <w:ind w:left="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2022年市对镇政府性基金</w:t>
      </w:r>
      <w:r>
        <w:rPr>
          <w:rFonts w:hint="eastAsia" w:ascii="方正小标宋简体" w:hAnsi="方正小标宋简体" w:eastAsia="方正小标宋简体" w:cs="方正小标宋简体"/>
          <w:b w:val="0"/>
          <w:bCs/>
          <w:color w:val="auto"/>
          <w:kern w:val="0"/>
          <w:sz w:val="44"/>
          <w:szCs w:val="44"/>
          <w:highlight w:val="none"/>
          <w:lang w:eastAsia="zh-CN"/>
        </w:rPr>
        <w:t>预算</w:t>
      </w:r>
      <w:r>
        <w:rPr>
          <w:rFonts w:hint="eastAsia" w:ascii="方正小标宋简体" w:hAnsi="方正小标宋简体" w:eastAsia="方正小标宋简体" w:cs="方正小标宋简体"/>
          <w:b w:val="0"/>
          <w:bCs/>
          <w:color w:val="auto"/>
          <w:kern w:val="0"/>
          <w:sz w:val="44"/>
          <w:szCs w:val="44"/>
          <w:highlight w:val="none"/>
        </w:rPr>
        <w:t>转移支付预算表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8"/>
        <w:gridCol w:w="2265"/>
        <w:gridCol w:w="2085"/>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开发区、镇</w:t>
            </w:r>
          </w:p>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债券转贷资金</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黑体" w:cs="黑体"/>
                <w:i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轵城镇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490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五龙口镇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2231</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克井镇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180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承留镇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105</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坡头镇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140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邵原镇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334</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思礼镇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大峪镇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570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下冶镇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220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王屋镇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270</w:t>
            </w:r>
          </w:p>
        </w:tc>
        <w:tc>
          <w:tcPr>
            <w:tcW w:w="20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北海街道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2200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天坛街道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sz w:val="24"/>
                <w:szCs w:val="24"/>
                <w:highlight w:val="none"/>
                <w:u w:val="none"/>
              </w:rPr>
            </w:pP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玉泉街道</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2300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高新技术产业开发区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9900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经济技术开发区</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6371</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27551</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19400 </w:t>
            </w:r>
          </w:p>
        </w:tc>
        <w:tc>
          <w:tcPr>
            <w:tcW w:w="2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8151 </w:t>
            </w:r>
          </w:p>
        </w:tc>
      </w:tr>
    </w:tbl>
    <w:p>
      <w:pPr>
        <w:widowControl w:val="0"/>
        <w:wordWrap/>
        <w:spacing w:line="600" w:lineRule="exact"/>
        <w:ind w:left="0" w:leftChars="0"/>
        <w:jc w:val="both"/>
        <w:textAlignment w:val="auto"/>
        <w:outlineLvl w:val="9"/>
        <w:rPr>
          <w:rFonts w:hint="eastAsia" w:ascii="宋体" w:hAnsi="宋体" w:eastAsia="黑体" w:cs="黑体"/>
          <w:color w:val="auto"/>
          <w:sz w:val="28"/>
          <w:szCs w:val="28"/>
          <w:highlight w:val="none"/>
        </w:rPr>
      </w:pPr>
    </w:p>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_GBK" w:hAnsi="方正小标宋_GBK" w:eastAsia="方正小标宋_GBK" w:cs="方正小标宋_GBK"/>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21</w:t>
      </w:r>
      <w:r>
        <w:rPr>
          <w:rFonts w:hint="eastAsia" w:ascii="方正小标宋简体" w:hAnsi="方正小标宋简体" w:eastAsia="方正小标宋简体" w:cs="方正小标宋简体"/>
          <w:b w:val="0"/>
          <w:bCs/>
          <w:color w:val="auto"/>
          <w:kern w:val="0"/>
          <w:sz w:val="44"/>
          <w:szCs w:val="44"/>
          <w:highlight w:val="none"/>
        </w:rPr>
        <w:t>年和202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年政府专项债务余额情况表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5"/>
        <w:gridCol w:w="2014"/>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2014" w:type="dxa"/>
            <w:tcBorders>
              <w:top w:val="single" w:color="000000" w:sz="4" w:space="0"/>
              <w:left w:val="single" w:color="000000" w:sz="4" w:space="0"/>
              <w:bottom w:val="nil"/>
              <w:right w:val="nil"/>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20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2020年末政府专项债务余额实际数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226174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226174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2021年末政府专项债务余额限额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412000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2021年政府专项债券发行额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148800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148800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2021年政府专项债券还本额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34345</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34345</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2021年末政府专项债务余额预计执行数</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340629 </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340629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2022年政府专项债务新增限额</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222900</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222900</w:t>
            </w:r>
          </w:p>
        </w:tc>
      </w:tr>
    </w:tbl>
    <w:p>
      <w:pPr>
        <w:pStyle w:val="4"/>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widowControl w:val="0"/>
        <w:wordWrap/>
        <w:overflowPunct w:val="0"/>
        <w:autoSpaceDE w:val="0"/>
        <w:autoSpaceDN w:val="0"/>
        <w:adjustRightInd w:val="0"/>
        <w:snapToGrid w:val="0"/>
        <w:spacing w:line="660" w:lineRule="exact"/>
        <w:jc w:val="both"/>
        <w:textAlignment w:val="auto"/>
        <w:outlineLvl w:val="9"/>
        <w:rPr>
          <w:rFonts w:hint="eastAsia" w:ascii="Times New Roman" w:hAnsi="Times New Roman" w:eastAsia="黑体" w:cs="黑体"/>
          <w:color w:val="auto"/>
          <w:sz w:val="28"/>
          <w:szCs w:val="28"/>
          <w:highlight w:val="none"/>
          <w:lang w:eastAsia="zh-CN"/>
        </w:rPr>
      </w:pPr>
      <w:bookmarkStart w:id="0" w:name="_GoBack"/>
      <w:bookmarkEnd w:id="0"/>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ascii="Times New Roman" w:hAnsi="Times New Roman" w:eastAsia="黑体" w:cs="黑体"/>
          <w:color w:val="auto"/>
          <w:sz w:val="28"/>
          <w:szCs w:val="28"/>
          <w:highlight w:val="none"/>
          <w:lang w:eastAsia="zh-CN"/>
        </w:rPr>
      </w:pPr>
    </w:p>
    <w:p>
      <w:pPr>
        <w:rPr>
          <w:rFonts w:hint="eastAsia" w:ascii="Times New Roman" w:hAnsi="Times New Roman" w:eastAsia="黑体" w:cs="黑体"/>
          <w:color w:val="auto"/>
          <w:sz w:val="28"/>
          <w:szCs w:val="28"/>
          <w:highlight w:val="none"/>
          <w:lang w:eastAsia="zh-CN"/>
        </w:rPr>
      </w:pPr>
    </w:p>
    <w:p>
      <w:pPr>
        <w:pStyle w:val="2"/>
        <w:rPr>
          <w:rFonts w:hint="eastAsia"/>
          <w:lang w:eastAsia="zh-CN"/>
        </w:rPr>
      </w:pPr>
    </w:p>
    <w:p>
      <w:pPr>
        <w:widowControl w:val="0"/>
        <w:wordWrap/>
        <w:adjustRightInd w:val="0"/>
        <w:snapToGrid w:val="0"/>
        <w:spacing w:line="720" w:lineRule="exact"/>
        <w:ind w:left="0" w:leftChars="0"/>
        <w:jc w:val="both"/>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w:t>
      </w:r>
      <w:r>
        <w:rPr>
          <w:rFonts w:hint="eastAsia" w:ascii="方正小标宋简体" w:hAnsi="方正小标宋简体" w:eastAsia="方正小标宋简体" w:cs="方正小标宋简体"/>
          <w:b w:val="0"/>
          <w:bCs/>
          <w:color w:val="auto"/>
          <w:kern w:val="0"/>
          <w:sz w:val="44"/>
          <w:szCs w:val="44"/>
          <w:highlight w:val="none"/>
          <w:lang w:eastAsia="zh-CN"/>
        </w:rPr>
        <w:t>市级</w:t>
      </w:r>
      <w:r>
        <w:rPr>
          <w:rFonts w:hint="eastAsia" w:ascii="方正小标宋简体" w:hAnsi="方正小标宋简体" w:eastAsia="方正小标宋简体" w:cs="方正小标宋简体"/>
          <w:b w:val="0"/>
          <w:bCs/>
          <w:color w:val="auto"/>
          <w:kern w:val="0"/>
          <w:sz w:val="44"/>
          <w:szCs w:val="44"/>
          <w:highlight w:val="none"/>
        </w:rPr>
        <w:t>国有资本经营预算收支表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2"/>
        <w:gridCol w:w="1185"/>
        <w:gridCol w:w="3225"/>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利润收入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27</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解决历史遗留问题及改革成本支出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股利、股息收入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国有企业资本金注入</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产权转让收入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国有企业政策性补贴</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清算收入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金融国有资本经营预算支出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其他国有资本经营预算收入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其他国有资本经营预算支出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本年收入合计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 xml:space="preserve">27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本年支出合计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上年结转结余收入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 xml:space="preserve">279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补助镇级</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上级补助收入</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 xml:space="preserve">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收入总计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481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支出总计</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481 </w:t>
            </w:r>
          </w:p>
        </w:tc>
      </w:tr>
    </w:tbl>
    <w:p>
      <w:pPr>
        <w:widowControl w:val="0"/>
        <w:wordWrap/>
        <w:spacing w:line="600" w:lineRule="exact"/>
        <w:ind w:left="0" w:leftChars="0"/>
        <w:jc w:val="both"/>
        <w:textAlignment w:val="auto"/>
        <w:outlineLvl w:val="9"/>
        <w:rPr>
          <w:rFonts w:hint="eastAsia" w:ascii="宋体" w:hAnsi="宋体" w:eastAsia="方正小标宋简体" w:cs="方正小标宋简体"/>
          <w:bCs/>
          <w:color w:val="auto"/>
          <w:sz w:val="44"/>
          <w:szCs w:val="44"/>
          <w:highlight w:val="none"/>
        </w:rPr>
      </w:pPr>
    </w:p>
    <w:p>
      <w:pPr>
        <w:widowControl w:val="0"/>
        <w:wordWrap/>
        <w:spacing w:line="600" w:lineRule="exact"/>
        <w:ind w:left="0" w:leftChars="0"/>
        <w:jc w:val="both"/>
        <w:textAlignment w:val="auto"/>
        <w:outlineLvl w:val="9"/>
        <w:rPr>
          <w:rFonts w:hint="eastAsia" w:ascii="宋体" w:hAnsi="宋体" w:eastAsia="方正小标宋简体" w:cs="方正小标宋简体"/>
          <w:bCs/>
          <w:color w:val="auto"/>
          <w:sz w:val="44"/>
          <w:szCs w:val="44"/>
          <w:highlight w:val="none"/>
        </w:rPr>
      </w:pPr>
    </w:p>
    <w:p>
      <w:pPr>
        <w:widowControl w:val="0"/>
        <w:wordWrap/>
        <w:spacing w:line="600" w:lineRule="exact"/>
        <w:ind w:left="0" w:leftChars="0"/>
        <w:jc w:val="both"/>
        <w:textAlignment w:val="auto"/>
        <w:outlineLvl w:val="9"/>
        <w:rPr>
          <w:rFonts w:hint="eastAsia" w:ascii="宋体" w:hAnsi="宋体" w:eastAsia="方正小标宋简体" w:cs="方正小标宋简体"/>
          <w:bCs/>
          <w:color w:val="auto"/>
          <w:sz w:val="44"/>
          <w:szCs w:val="44"/>
          <w:highlight w:val="none"/>
        </w:rPr>
      </w:pPr>
    </w:p>
    <w:p>
      <w:pPr>
        <w:widowControl w:val="0"/>
        <w:wordWrap/>
        <w:spacing w:line="600" w:lineRule="exact"/>
        <w:ind w:left="0" w:leftChars="0"/>
        <w:jc w:val="both"/>
        <w:textAlignment w:val="auto"/>
        <w:outlineLvl w:val="9"/>
        <w:rPr>
          <w:rFonts w:hint="eastAsia" w:ascii="宋体" w:hAnsi="宋体" w:eastAsia="黑体" w:cs="黑体"/>
          <w:color w:val="auto"/>
          <w:sz w:val="28"/>
          <w:szCs w:val="28"/>
          <w:highlight w:val="none"/>
        </w:rPr>
      </w:pPr>
    </w:p>
    <w:p>
      <w:pPr>
        <w:widowControl w:val="0"/>
        <w:wordWrap/>
        <w:overflowPunct w:val="0"/>
        <w:autoSpaceDE w:val="0"/>
        <w:autoSpaceDN w:val="0"/>
        <w:adjustRightInd w:val="0"/>
        <w:snapToGrid w:val="0"/>
        <w:spacing w:line="660" w:lineRule="exact"/>
        <w:ind w:left="0" w:leftChars="0" w:firstLine="880" w:firstLineChars="200"/>
        <w:jc w:val="both"/>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lang w:val="en-US" w:eastAsia="zh-CN"/>
        </w:rPr>
        <w:br w:type="page"/>
      </w: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年全市社会保险基金预算收支表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9"/>
        <w:gridCol w:w="1181"/>
        <w:gridCol w:w="29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机关事业单位基本养老保险基金收入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53057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机关事业单位基本养老保险基金支出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52142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32460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基本养老金支出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52136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机关事业单位基本养老保险基金财政补助收入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20254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机关事业单位基本养老保险基金其他支出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机关事业单位养老保险基金其他支出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机关事业单位养老保险基金转移收入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300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城乡居民基本养老保险基金收入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23755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城乡居民基本养老保险基金支出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21201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城乡居民基本养老保险费收入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4303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基础养老金支出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17094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城乡居民基本养老保险基金财政补贴收入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18308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个人账户养老金支出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城乡居民基本养老保险基金利息收入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520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丧葬抚恤补助支出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城乡居民基本养老保险基金转移收入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转移支出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城乡居民基本养老保险委托投资收益</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617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城乡居民基本医疗保险基金收入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47464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城乡居民基本医疗保险基金支出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43860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城乡居民基本医疗保险费收入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16256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基本医疗保险待遇支出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39898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城乡居民基本医疗保险基金财政补贴收入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30988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大病保险支出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城乡居民基本医疗保险基金利息收入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220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其他支出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职工基本医疗保险基金收入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75560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职工基本医疗保险基金支出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64961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职工基本医疗保险费收入</w:t>
            </w: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72128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职工基本医疗保险统筹基金支出</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33598 </w:t>
            </w:r>
          </w:p>
        </w:tc>
      </w:tr>
    </w:tbl>
    <w:p>
      <w:pPr>
        <w:widowControl w:val="0"/>
        <w:wordWrap/>
        <w:spacing w:line="600" w:lineRule="exact"/>
        <w:ind w:left="0"/>
        <w:jc w:val="both"/>
        <w:textAlignment w:val="auto"/>
        <w:outlineLvl w:val="9"/>
        <w:rPr>
          <w:rFonts w:hint="eastAsia" w:ascii="Times New Roman" w:hAnsi="Times New Roman" w:eastAsia="黑体" w:cs="黑体"/>
          <w:color w:val="auto"/>
          <w:sz w:val="28"/>
          <w:szCs w:val="28"/>
          <w:highlight w:val="none"/>
          <w:lang w:eastAsia="zh-CN"/>
        </w:rPr>
      </w:pPr>
    </w:p>
    <w:p>
      <w:pPr>
        <w:widowControl w:val="0"/>
        <w:wordWrap/>
        <w:adjustRightInd w:val="0"/>
        <w:snapToGrid w:val="0"/>
        <w:spacing w:line="720" w:lineRule="exact"/>
        <w:ind w:left="0" w:lef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202</w:t>
      </w:r>
      <w:r>
        <w:rPr>
          <w:rFonts w:hint="eastAsia" w:ascii="方正小标宋简体" w:hAnsi="方正小标宋简体" w:eastAsia="方正小标宋简体" w:cs="方正小标宋简体"/>
          <w:b w:val="0"/>
          <w:bCs/>
          <w:color w:val="auto"/>
          <w:kern w:val="0"/>
          <w:sz w:val="44"/>
          <w:szCs w:val="44"/>
          <w:highlight w:val="none"/>
          <w:lang w:val="en-US" w:eastAsia="zh-CN"/>
        </w:rPr>
        <w:t>2</w:t>
      </w:r>
      <w:r>
        <w:rPr>
          <w:rFonts w:hint="eastAsia" w:ascii="方正小标宋简体" w:hAnsi="方正小标宋简体" w:eastAsia="方正小标宋简体" w:cs="方正小标宋简体"/>
          <w:b w:val="0"/>
          <w:bCs/>
          <w:color w:val="auto"/>
          <w:kern w:val="0"/>
          <w:sz w:val="44"/>
          <w:szCs w:val="44"/>
          <w:highlight w:val="none"/>
        </w:rPr>
        <w:t>年全市社会保险基金预算收支表</w:t>
      </w:r>
    </w:p>
    <w:p>
      <w:pPr>
        <w:widowControl w:val="0"/>
        <w:wordWrap/>
        <w:overflowPunct w:val="0"/>
        <w:autoSpaceDE w:val="0"/>
        <w:autoSpaceDN w:val="0"/>
        <w:adjustRightInd w:val="0"/>
        <w:snapToGrid w:val="0"/>
        <w:spacing w:line="660" w:lineRule="exact"/>
        <w:ind w:lef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单位：万元</w:t>
      </w:r>
    </w:p>
    <w:tbl>
      <w:tblPr>
        <w:tblStyle w:val="12"/>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2"/>
        <w:gridCol w:w="1307"/>
        <w:gridCol w:w="3169"/>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收入</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项   目</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ind w:left="0"/>
              <w:jc w:val="center"/>
              <w:textAlignment w:val="center"/>
              <w:rPr>
                <w:rFonts w:hint="eastAsia" w:ascii="宋体" w:hAnsi="宋体" w:eastAsia="黑体" w:cs="黑体"/>
                <w:i w:val="0"/>
                <w:color w:val="auto"/>
                <w:kern w:val="0"/>
                <w:sz w:val="24"/>
                <w:szCs w:val="24"/>
                <w:highlight w:val="none"/>
                <w:u w:val="none"/>
                <w:lang w:val="en-US" w:eastAsia="zh-CN"/>
              </w:rPr>
            </w:pPr>
            <w:r>
              <w:rPr>
                <w:rFonts w:hint="eastAsia" w:ascii="宋体" w:hAnsi="宋体" w:eastAsia="黑体" w:cs="黑体"/>
                <w:i w:val="0"/>
                <w:color w:val="auto"/>
                <w:kern w:val="0"/>
                <w:sz w:val="24"/>
                <w:szCs w:val="24"/>
                <w:highlight w:val="none"/>
                <w:u w:val="none"/>
                <w:lang w:val="en-US" w:eastAsia="zh-CN"/>
              </w:rPr>
              <w:t>支出</w:t>
            </w:r>
          </w:p>
          <w:p>
            <w:pPr>
              <w:widowControl w:val="0"/>
              <w:wordWrap/>
              <w:ind w:left="0"/>
              <w:jc w:val="center"/>
              <w:textAlignment w:val="center"/>
              <w:rPr>
                <w:rFonts w:hint="eastAsia" w:ascii="宋体" w:hAnsi="宋体" w:eastAsia="黑体" w:cs="黑体"/>
                <w:i w:val="0"/>
                <w:color w:val="auto"/>
                <w:sz w:val="24"/>
                <w:szCs w:val="24"/>
                <w:highlight w:val="none"/>
                <w:u w:val="none"/>
              </w:rPr>
            </w:pPr>
            <w:r>
              <w:rPr>
                <w:rFonts w:hint="eastAsia" w:ascii="宋体" w:hAnsi="宋体" w:eastAsia="黑体" w:cs="黑体"/>
                <w:i w:val="0"/>
                <w:color w:val="auto"/>
                <w:kern w:val="0"/>
                <w:sz w:val="24"/>
                <w:szCs w:val="24"/>
                <w:highlight w:val="none"/>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职工基本医疗保险财政补贴收入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1814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职工基本医疗保险个人账户基金支出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24251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1493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职工基本医疗保险基金转移支出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职工基本医疗保险基金转移收入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125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职工基本医疗保险其他支出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工伤保险基金收入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5102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工伤保险基金支出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3954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工伤保险费收入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5075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工伤保险待遇支出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工伤保险基金利息收入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27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劳动能力鉴定支出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工伤保险基金上解上级支出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工伤保险预防费用支出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失业保险基金收入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7241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失业保险基金支出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8135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失业保险费收入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6040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失业保险金支出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5422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失业保险基金财政补贴收入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医疗保险费支出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失业保险基金利息收入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49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技能提升补贴支出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失业保险基金下级上解收入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其他费用支出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上级补助收入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1150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职业培训补贴支出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转移收入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上解上级支出</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本年收入合计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212179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本年支出合计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 xml:space="preserve">194253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上年结转结余收入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137199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预计结转结余</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155125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收入总计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349378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支出总计</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349378 </w:t>
            </w:r>
          </w:p>
        </w:tc>
      </w:tr>
    </w:tbl>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宋体" w:hAnsi="宋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 w:val="0"/>
          <w:bCs/>
          <w:color w:val="auto"/>
          <w:kern w:val="0"/>
          <w:sz w:val="44"/>
          <w:szCs w:val="44"/>
          <w:highlight w:val="none"/>
          <w:lang w:val="en-US" w:eastAsia="zh-CN"/>
        </w:rPr>
        <w:t>关于2022年全市社会保险基金预算收支</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情况的说明</w:t>
      </w: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lang w:val="en-US" w:eastAsia="zh-CN"/>
        </w:rPr>
      </w:pP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rPr>
        <w:t>一、编制要求</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2022年全市社会保险基金预算按照“统筹编制、专款专用，相对独立、有机衔接”的要求编制。</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rPr>
        <w:t>二、编报范围</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2022年全市社会保险基金预算编制范围包括机关事业单位基本养老保险基金、职工基本医疗保险基金、城乡居民基本医疗保险基金、城乡居民基本养老保险基金、工伤保险基金、失业保险基</w:t>
      </w:r>
      <w:r>
        <w:rPr>
          <w:rFonts w:hint="eastAsia" w:ascii="Times New Roman" w:hAnsi="Times New Roman" w:eastAsia="仿宋_GB2312" w:cs="仿宋_GB2312"/>
          <w:color w:val="auto"/>
          <w:spacing w:val="-11"/>
          <w:kern w:val="0"/>
          <w:sz w:val="32"/>
          <w:szCs w:val="32"/>
          <w:highlight w:val="none"/>
          <w:lang w:val="en-US" w:eastAsia="zh-CN"/>
        </w:rPr>
        <w:t>金。</w:t>
      </w:r>
      <w:r>
        <w:rPr>
          <w:rFonts w:hint="eastAsia" w:ascii="Times New Roman" w:hAnsi="Times New Roman" w:eastAsia="仿宋_GB2312" w:cs="仿宋_GB2312"/>
          <w:color w:val="auto"/>
          <w:kern w:val="0"/>
          <w:sz w:val="32"/>
          <w:szCs w:val="32"/>
          <w:highlight w:val="none"/>
          <w:lang w:val="en-US" w:eastAsia="zh-CN"/>
        </w:rPr>
        <w:t>企业职工基本养老保险从2020年第四季度开始实行省级统筹，市级不再编制此项预算。</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rPr>
        <w:t>三、收入预算编制情况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社会保险基金预算收入主要包括保险缴费收入、财政补贴收入、利息收入、上级补助收入、转移收入和其他收入。2022年全市社会保险基金收入预算总计349378万元，其中：本年收入212179万元，主要项目情况是：</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1.机关事业单位养老保险基金收入53057万元，其中：保险费收入32460万元，财政补助收入20254万元，利息收入43万元，转移收入300万元。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2.城乡居民基本养老保险基金收入23755万元，其中：保险费收入4303万元，财政补贴收入18308万元，利息收入520万元，转移收入7万元，城乡居民基本养老保险委托投资收益617万元。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3.城乡居民基本医疗保险基金收入47464万元，其中：保险费收入16256万元，财政补贴收入30988万元，利息收入220万元。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4.职工基本医疗保险基金收入75560万元，其中：保险费收入72128万元，职工基本医疗保险财政补贴收入1814万元，利息收入1493万元，转移收入125万元。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5.工伤保险基金收入5102万元，其中：保险费收入5075万元，利息收入27万元。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6.失业保险基金收入7241万元，其中：保险费收入6040万元，  上级补助收入1150万元，利息收入49万元，转移收入2万元。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rPr>
        <w:t>四、支出预算编制情况</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2022年全市社会保险基金支出预算总计349378万元，其中：本年支出194253万元，主要项目安排情况是：</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1.机关事业单位养老保险基金支出52142万元，其中：基本养老金支出52136万元。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2.城乡居民基本养老保险基金支出21201万元，其中：基础养老金支出17094万元，个人账户养老金支出3669万元，丧葬抚恤补助支出435万元，转移支出3万元。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3.城乡居民基本医疗保险基金支出43860万元，其中：基本医疗保险待遇支出39898万元，大病保险支出3962万元。</w:t>
      </w:r>
    </w:p>
    <w:p>
      <w:pPr>
        <w:widowControl w:val="0"/>
        <w:wordWrap/>
        <w:overflowPunct w:val="0"/>
        <w:autoSpaceDE w:val="0"/>
        <w:autoSpaceDN w:val="0"/>
        <w:adjustRightInd w:val="0"/>
        <w:snapToGrid w:val="0"/>
        <w:spacing w:line="660" w:lineRule="exact"/>
        <w:ind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4.职工基本医疗保险基金支出64961万元，其中：统筹基金支出33598万元，个人账户基金支出24251万元，职工基本医疗保险基金转移支出112万元，职工基本医疗保险其他支出7000万元。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spacing w:val="-11"/>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5.工伤保险基金支出3954万元，其中：工伤保险待遇支出3824万</w:t>
      </w:r>
      <w:r>
        <w:rPr>
          <w:rFonts w:hint="eastAsia" w:ascii="Times New Roman" w:hAnsi="Times New Roman" w:eastAsia="仿宋_GB2312" w:cs="仿宋_GB2312"/>
          <w:color w:val="auto"/>
          <w:spacing w:val="-11"/>
          <w:kern w:val="0"/>
          <w:sz w:val="32"/>
          <w:szCs w:val="32"/>
          <w:highlight w:val="none"/>
          <w:lang w:val="en-US" w:eastAsia="zh-CN"/>
        </w:rPr>
        <w:t>元，劳动能力鉴定支出8万元，工伤保险基金上解上级支出102万元， 工伤保险预防费用支出20万元。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6.失业保险基金支出8135万元，其中：失业保险金支出5422万元，医疗保险费支出898万元，其他支出3万元，上解上级支出1812万元。</w:t>
      </w: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Times New Roman" w:hAnsi="Times New Roman" w:eastAsia="仿宋_GB2312" w:cs="仿宋_GB2312"/>
          <w:color w:val="auto"/>
          <w:kern w:val="0"/>
          <w:sz w:val="32"/>
          <w:szCs w:val="32"/>
          <w:highlight w:val="none"/>
          <w:lang w:val="en-US" w:eastAsia="zh-CN"/>
        </w:rPr>
      </w:pPr>
    </w:p>
    <w:p>
      <w:pPr>
        <w:widowControl w:val="0"/>
        <w:wordWrap/>
        <w:overflowPunct w:val="0"/>
        <w:autoSpaceDE w:val="0"/>
        <w:autoSpaceDN w:val="0"/>
        <w:adjustRightInd w:val="0"/>
        <w:snapToGrid w:val="0"/>
        <w:spacing w:line="660" w:lineRule="exact"/>
        <w:ind w:left="0" w:leftChars="0" w:firstLine="640" w:firstLineChars="200"/>
        <w:jc w:val="both"/>
        <w:textAlignment w:val="auto"/>
        <w:outlineLvl w:val="9"/>
        <w:rPr>
          <w:rFonts w:hint="eastAsia" w:ascii="宋体" w:hAnsi="宋体" w:eastAsia="仿宋_GB2312" w:cs="仿宋_GB2312"/>
          <w:color w:val="auto"/>
          <w:kern w:val="0"/>
          <w:sz w:val="32"/>
          <w:szCs w:val="32"/>
          <w:highlight w:val="none"/>
          <w:lang w:val="en-US" w:eastAsia="zh-CN"/>
        </w:rPr>
      </w:pPr>
    </w:p>
    <w:p>
      <w:pPr>
        <w:pStyle w:val="16"/>
        <w:keepNext w:val="0"/>
        <w:keepLines w:val="0"/>
        <w:pageBreakBefore w:val="0"/>
        <w:widowControl w:val="0"/>
        <w:numPr>
          <w:ilvl w:val="0"/>
          <w:numId w:val="0"/>
        </w:numPr>
        <w:pBdr>
          <w:bottom w:val="single" w:color="FFFFFF" w:sz="4" w:space="31"/>
        </w:pBdr>
        <w:kinsoku/>
        <w:wordWrap/>
        <w:overflowPunct w:val="0"/>
        <w:topLinePunct w:val="0"/>
        <w:autoSpaceDE w:val="0"/>
        <w:autoSpaceDN w:val="0"/>
        <w:bidi w:val="0"/>
        <w:adjustRightInd/>
        <w:snapToGrid/>
        <w:spacing w:before="0" w:beforeLines="0" w:after="0" w:afterLines="0" w:line="640" w:lineRule="exact"/>
        <w:ind w:right="0" w:rightChars="0"/>
        <w:jc w:val="both"/>
        <w:textAlignment w:val="auto"/>
        <w:outlineLvl w:val="9"/>
        <w:rPr>
          <w:rFonts w:hint="eastAsia" w:ascii="Times New Roman" w:hAnsi="Times New Roman" w:eastAsia="仿宋_GB2312" w:cs="仿宋_GB2312"/>
          <w:color w:val="auto"/>
          <w:sz w:val="32"/>
          <w:szCs w:val="32"/>
          <w:highlight w:val="none"/>
          <w:lang w:val="en-US" w:eastAsia="zh-CN"/>
        </w:rPr>
      </w:pPr>
    </w:p>
    <w:sectPr>
      <w:headerReference r:id="rId3" w:type="default"/>
      <w:footerReference r:id="rId4" w:type="default"/>
      <w:pgSz w:w="11906" w:h="16838"/>
      <w:pgMar w:top="1701" w:right="1474" w:bottom="1417" w:left="147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_x0000_s4097"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14.1731496062992pt,0mm,14.1731496062992pt,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NmZDNjMzIzYTI0MjJjMzViZjFkZDAxM2Y2ZTljMmUifQ=="/>
  </w:docVars>
  <w:rsids>
    <w:rsidRoot w:val="00172A27"/>
    <w:rsid w:val="002164DC"/>
    <w:rsid w:val="007812CC"/>
    <w:rsid w:val="009763E1"/>
    <w:rsid w:val="00992217"/>
    <w:rsid w:val="00C32EA8"/>
    <w:rsid w:val="00EA3D1D"/>
    <w:rsid w:val="01F37B41"/>
    <w:rsid w:val="023D34C4"/>
    <w:rsid w:val="024F4BAB"/>
    <w:rsid w:val="029B0CFE"/>
    <w:rsid w:val="02B84AEE"/>
    <w:rsid w:val="03216E0B"/>
    <w:rsid w:val="038B2009"/>
    <w:rsid w:val="03C36906"/>
    <w:rsid w:val="04034BB7"/>
    <w:rsid w:val="04273D65"/>
    <w:rsid w:val="04334EE3"/>
    <w:rsid w:val="0476336D"/>
    <w:rsid w:val="04B3352D"/>
    <w:rsid w:val="05333042"/>
    <w:rsid w:val="053C343C"/>
    <w:rsid w:val="05D451A8"/>
    <w:rsid w:val="0619136B"/>
    <w:rsid w:val="066452CD"/>
    <w:rsid w:val="06A31A49"/>
    <w:rsid w:val="06AB08A2"/>
    <w:rsid w:val="07376112"/>
    <w:rsid w:val="0744553C"/>
    <w:rsid w:val="074B4A60"/>
    <w:rsid w:val="07607352"/>
    <w:rsid w:val="078A511E"/>
    <w:rsid w:val="07AF59C7"/>
    <w:rsid w:val="07E1477B"/>
    <w:rsid w:val="083F2937"/>
    <w:rsid w:val="094A7FB2"/>
    <w:rsid w:val="09810EB6"/>
    <w:rsid w:val="09A32B29"/>
    <w:rsid w:val="0A1C58CA"/>
    <w:rsid w:val="0A4418C5"/>
    <w:rsid w:val="0AF76047"/>
    <w:rsid w:val="0B057DE5"/>
    <w:rsid w:val="0B201675"/>
    <w:rsid w:val="0B265476"/>
    <w:rsid w:val="0BA62D87"/>
    <w:rsid w:val="0C225503"/>
    <w:rsid w:val="0C3E0B81"/>
    <w:rsid w:val="0C47671F"/>
    <w:rsid w:val="0CAF4A9C"/>
    <w:rsid w:val="0CCD0638"/>
    <w:rsid w:val="0D1601D1"/>
    <w:rsid w:val="0D3A268C"/>
    <w:rsid w:val="0D505F93"/>
    <w:rsid w:val="0D585AE9"/>
    <w:rsid w:val="0E7126F9"/>
    <w:rsid w:val="0ECA0F48"/>
    <w:rsid w:val="0F271AAF"/>
    <w:rsid w:val="0F9A627B"/>
    <w:rsid w:val="0FC62FEC"/>
    <w:rsid w:val="0FF476BD"/>
    <w:rsid w:val="1042454C"/>
    <w:rsid w:val="10896CFC"/>
    <w:rsid w:val="10AB16D5"/>
    <w:rsid w:val="10AE67AC"/>
    <w:rsid w:val="1105286B"/>
    <w:rsid w:val="11502418"/>
    <w:rsid w:val="116958DF"/>
    <w:rsid w:val="117F6ACF"/>
    <w:rsid w:val="119F5886"/>
    <w:rsid w:val="124C1029"/>
    <w:rsid w:val="124F5101"/>
    <w:rsid w:val="127E7C53"/>
    <w:rsid w:val="12E0027F"/>
    <w:rsid w:val="131C0D89"/>
    <w:rsid w:val="13EA7B2E"/>
    <w:rsid w:val="14453C63"/>
    <w:rsid w:val="145A04B9"/>
    <w:rsid w:val="148775AD"/>
    <w:rsid w:val="14910825"/>
    <w:rsid w:val="14B136FC"/>
    <w:rsid w:val="15690004"/>
    <w:rsid w:val="157C31F2"/>
    <w:rsid w:val="15BA296B"/>
    <w:rsid w:val="15CF2970"/>
    <w:rsid w:val="166D101E"/>
    <w:rsid w:val="169E6AE5"/>
    <w:rsid w:val="16B92A68"/>
    <w:rsid w:val="16D129AD"/>
    <w:rsid w:val="175A1F42"/>
    <w:rsid w:val="179C3FD0"/>
    <w:rsid w:val="17A2740A"/>
    <w:rsid w:val="17B07A78"/>
    <w:rsid w:val="1813029F"/>
    <w:rsid w:val="181F7C56"/>
    <w:rsid w:val="183A5B98"/>
    <w:rsid w:val="186D6AE6"/>
    <w:rsid w:val="18935D68"/>
    <w:rsid w:val="18F148F1"/>
    <w:rsid w:val="19095696"/>
    <w:rsid w:val="193E71D7"/>
    <w:rsid w:val="193F446B"/>
    <w:rsid w:val="19427EE4"/>
    <w:rsid w:val="19DF73B4"/>
    <w:rsid w:val="1A0472F3"/>
    <w:rsid w:val="1A2369C1"/>
    <w:rsid w:val="1A5E4973"/>
    <w:rsid w:val="1ABD0517"/>
    <w:rsid w:val="1AEA7A72"/>
    <w:rsid w:val="1AFC2F9F"/>
    <w:rsid w:val="1B2200EF"/>
    <w:rsid w:val="1B2F4590"/>
    <w:rsid w:val="1BF91AF3"/>
    <w:rsid w:val="1C276350"/>
    <w:rsid w:val="1CFD6930"/>
    <w:rsid w:val="1D391299"/>
    <w:rsid w:val="1D503CF1"/>
    <w:rsid w:val="1D904B4C"/>
    <w:rsid w:val="1D9A483F"/>
    <w:rsid w:val="1DF321DB"/>
    <w:rsid w:val="1E3907CA"/>
    <w:rsid w:val="1E591242"/>
    <w:rsid w:val="1E8631F9"/>
    <w:rsid w:val="1F347A7C"/>
    <w:rsid w:val="1F4610D9"/>
    <w:rsid w:val="200B4AC0"/>
    <w:rsid w:val="20562885"/>
    <w:rsid w:val="2071000D"/>
    <w:rsid w:val="209D214C"/>
    <w:rsid w:val="21986088"/>
    <w:rsid w:val="21AE7493"/>
    <w:rsid w:val="21CB1368"/>
    <w:rsid w:val="21D80FA2"/>
    <w:rsid w:val="21EC584C"/>
    <w:rsid w:val="22F26E34"/>
    <w:rsid w:val="230B35B4"/>
    <w:rsid w:val="2339497F"/>
    <w:rsid w:val="234F0BA6"/>
    <w:rsid w:val="235637C8"/>
    <w:rsid w:val="23606945"/>
    <w:rsid w:val="236451FE"/>
    <w:rsid w:val="236B4C31"/>
    <w:rsid w:val="23921C35"/>
    <w:rsid w:val="24283624"/>
    <w:rsid w:val="243128DF"/>
    <w:rsid w:val="244E375D"/>
    <w:rsid w:val="24A52179"/>
    <w:rsid w:val="25336C78"/>
    <w:rsid w:val="25360C74"/>
    <w:rsid w:val="25604E1D"/>
    <w:rsid w:val="25C7013E"/>
    <w:rsid w:val="26530543"/>
    <w:rsid w:val="266A6FEB"/>
    <w:rsid w:val="266B6376"/>
    <w:rsid w:val="267D0440"/>
    <w:rsid w:val="27096B02"/>
    <w:rsid w:val="27B75095"/>
    <w:rsid w:val="280E0ADF"/>
    <w:rsid w:val="289C54C9"/>
    <w:rsid w:val="28EE0856"/>
    <w:rsid w:val="29207EC8"/>
    <w:rsid w:val="29303B10"/>
    <w:rsid w:val="295B3579"/>
    <w:rsid w:val="2979465B"/>
    <w:rsid w:val="29A43B6A"/>
    <w:rsid w:val="2A5F27FE"/>
    <w:rsid w:val="2BA7467F"/>
    <w:rsid w:val="2BE05A05"/>
    <w:rsid w:val="2C5318DA"/>
    <w:rsid w:val="2D2A02D7"/>
    <w:rsid w:val="2D5727CC"/>
    <w:rsid w:val="2E561399"/>
    <w:rsid w:val="2ECF0FEF"/>
    <w:rsid w:val="2ED17585"/>
    <w:rsid w:val="2FA57E6A"/>
    <w:rsid w:val="2FAC33A6"/>
    <w:rsid w:val="3011155F"/>
    <w:rsid w:val="301C5F65"/>
    <w:rsid w:val="30922730"/>
    <w:rsid w:val="31FF3BA5"/>
    <w:rsid w:val="3303032A"/>
    <w:rsid w:val="33190645"/>
    <w:rsid w:val="33E80488"/>
    <w:rsid w:val="34061778"/>
    <w:rsid w:val="340849DE"/>
    <w:rsid w:val="342018AF"/>
    <w:rsid w:val="34265DBF"/>
    <w:rsid w:val="34511771"/>
    <w:rsid w:val="349C0AE3"/>
    <w:rsid w:val="34E11D1F"/>
    <w:rsid w:val="354E59A9"/>
    <w:rsid w:val="356638EB"/>
    <w:rsid w:val="35E6346F"/>
    <w:rsid w:val="360E5FF2"/>
    <w:rsid w:val="36465138"/>
    <w:rsid w:val="36966006"/>
    <w:rsid w:val="36E80197"/>
    <w:rsid w:val="375C316C"/>
    <w:rsid w:val="3836306D"/>
    <w:rsid w:val="38C74F0A"/>
    <w:rsid w:val="38CC4016"/>
    <w:rsid w:val="38EC44D2"/>
    <w:rsid w:val="390901D2"/>
    <w:rsid w:val="39497548"/>
    <w:rsid w:val="39A14B2A"/>
    <w:rsid w:val="39F930AB"/>
    <w:rsid w:val="3A054AFE"/>
    <w:rsid w:val="3A946FB6"/>
    <w:rsid w:val="3BE02615"/>
    <w:rsid w:val="3BE51524"/>
    <w:rsid w:val="3C453FFB"/>
    <w:rsid w:val="3DCF68E1"/>
    <w:rsid w:val="3E265F96"/>
    <w:rsid w:val="3E7675A0"/>
    <w:rsid w:val="3E9E7B74"/>
    <w:rsid w:val="3ED54B20"/>
    <w:rsid w:val="3F53078A"/>
    <w:rsid w:val="40343714"/>
    <w:rsid w:val="409431F7"/>
    <w:rsid w:val="40D75DFF"/>
    <w:rsid w:val="40FD5E15"/>
    <w:rsid w:val="41D0399D"/>
    <w:rsid w:val="422C0F2D"/>
    <w:rsid w:val="428A39B9"/>
    <w:rsid w:val="428C6F2D"/>
    <w:rsid w:val="42AA3DC7"/>
    <w:rsid w:val="42B87D59"/>
    <w:rsid w:val="43327DCE"/>
    <w:rsid w:val="44540254"/>
    <w:rsid w:val="44E571F8"/>
    <w:rsid w:val="44E97CB6"/>
    <w:rsid w:val="45387E4C"/>
    <w:rsid w:val="458F4029"/>
    <w:rsid w:val="45A14B77"/>
    <w:rsid w:val="45CB3E1C"/>
    <w:rsid w:val="45D30DE0"/>
    <w:rsid w:val="45E276EF"/>
    <w:rsid w:val="45E64885"/>
    <w:rsid w:val="46062C57"/>
    <w:rsid w:val="460B4C13"/>
    <w:rsid w:val="46677193"/>
    <w:rsid w:val="4673406E"/>
    <w:rsid w:val="46C73D5C"/>
    <w:rsid w:val="471327BD"/>
    <w:rsid w:val="47E22CCE"/>
    <w:rsid w:val="48105FCC"/>
    <w:rsid w:val="4A256C5A"/>
    <w:rsid w:val="4A931996"/>
    <w:rsid w:val="4AE64EED"/>
    <w:rsid w:val="4B1174A9"/>
    <w:rsid w:val="4B1F267B"/>
    <w:rsid w:val="4B2F4AFA"/>
    <w:rsid w:val="4B6672D4"/>
    <w:rsid w:val="4BF73C27"/>
    <w:rsid w:val="4C095165"/>
    <w:rsid w:val="4CEE0BD1"/>
    <w:rsid w:val="4D104A16"/>
    <w:rsid w:val="4D341847"/>
    <w:rsid w:val="4D381D25"/>
    <w:rsid w:val="4D3E0025"/>
    <w:rsid w:val="4D812876"/>
    <w:rsid w:val="4DB03096"/>
    <w:rsid w:val="4DE2587A"/>
    <w:rsid w:val="4E062755"/>
    <w:rsid w:val="4E3749E5"/>
    <w:rsid w:val="4E8769E1"/>
    <w:rsid w:val="4E897A8D"/>
    <w:rsid w:val="4EC570DC"/>
    <w:rsid w:val="4EDA684B"/>
    <w:rsid w:val="4EEB3920"/>
    <w:rsid w:val="4F3E1DC8"/>
    <w:rsid w:val="4FEF08BA"/>
    <w:rsid w:val="501407AB"/>
    <w:rsid w:val="504E4B44"/>
    <w:rsid w:val="5058486C"/>
    <w:rsid w:val="50AD6DD2"/>
    <w:rsid w:val="50F5360A"/>
    <w:rsid w:val="50FA1DDD"/>
    <w:rsid w:val="51064D0C"/>
    <w:rsid w:val="51122281"/>
    <w:rsid w:val="51650853"/>
    <w:rsid w:val="516A6A9C"/>
    <w:rsid w:val="517F634E"/>
    <w:rsid w:val="51A04DC6"/>
    <w:rsid w:val="51A75A2F"/>
    <w:rsid w:val="52092063"/>
    <w:rsid w:val="521922B4"/>
    <w:rsid w:val="521E4486"/>
    <w:rsid w:val="52A72EA3"/>
    <w:rsid w:val="52DB3D62"/>
    <w:rsid w:val="5387736A"/>
    <w:rsid w:val="538D11DE"/>
    <w:rsid w:val="5424593F"/>
    <w:rsid w:val="543F2B3A"/>
    <w:rsid w:val="54436A36"/>
    <w:rsid w:val="54AF11B4"/>
    <w:rsid w:val="54E95ADA"/>
    <w:rsid w:val="55231CD2"/>
    <w:rsid w:val="55427ED5"/>
    <w:rsid w:val="557B5217"/>
    <w:rsid w:val="562714B5"/>
    <w:rsid w:val="56273D44"/>
    <w:rsid w:val="56D64810"/>
    <w:rsid w:val="57315FA2"/>
    <w:rsid w:val="57DA06B4"/>
    <w:rsid w:val="57F91010"/>
    <w:rsid w:val="58BC4221"/>
    <w:rsid w:val="58C90B2F"/>
    <w:rsid w:val="59213252"/>
    <w:rsid w:val="59435E2A"/>
    <w:rsid w:val="59967DB7"/>
    <w:rsid w:val="59DE487F"/>
    <w:rsid w:val="59E61C24"/>
    <w:rsid w:val="5A1B716B"/>
    <w:rsid w:val="5ABA27B5"/>
    <w:rsid w:val="5AFA2C17"/>
    <w:rsid w:val="5C4B1FA3"/>
    <w:rsid w:val="5C5972D5"/>
    <w:rsid w:val="5CB44BA6"/>
    <w:rsid w:val="5CEF0013"/>
    <w:rsid w:val="5D0D68D5"/>
    <w:rsid w:val="5DCB4594"/>
    <w:rsid w:val="5DCB6847"/>
    <w:rsid w:val="5DE44835"/>
    <w:rsid w:val="5E451BBB"/>
    <w:rsid w:val="5E567822"/>
    <w:rsid w:val="5F2C6EAE"/>
    <w:rsid w:val="5FB32308"/>
    <w:rsid w:val="5FC61F06"/>
    <w:rsid w:val="60552BA1"/>
    <w:rsid w:val="609A2171"/>
    <w:rsid w:val="60D5564C"/>
    <w:rsid w:val="60F51116"/>
    <w:rsid w:val="60F93174"/>
    <w:rsid w:val="610978AB"/>
    <w:rsid w:val="614B6A67"/>
    <w:rsid w:val="61924E3D"/>
    <w:rsid w:val="61C94F79"/>
    <w:rsid w:val="623F3BFF"/>
    <w:rsid w:val="62834D49"/>
    <w:rsid w:val="62C81DE4"/>
    <w:rsid w:val="62E13CA7"/>
    <w:rsid w:val="6307201D"/>
    <w:rsid w:val="63FE7021"/>
    <w:rsid w:val="64063946"/>
    <w:rsid w:val="64DB4EAC"/>
    <w:rsid w:val="64E21F48"/>
    <w:rsid w:val="64FC240F"/>
    <w:rsid w:val="651532CC"/>
    <w:rsid w:val="65490E71"/>
    <w:rsid w:val="65AA30FA"/>
    <w:rsid w:val="65AE7D29"/>
    <w:rsid w:val="65C76900"/>
    <w:rsid w:val="66541A65"/>
    <w:rsid w:val="66CC0D2F"/>
    <w:rsid w:val="67170B2F"/>
    <w:rsid w:val="672047E0"/>
    <w:rsid w:val="672846E9"/>
    <w:rsid w:val="679932E6"/>
    <w:rsid w:val="67BA11F5"/>
    <w:rsid w:val="6809337C"/>
    <w:rsid w:val="68335C21"/>
    <w:rsid w:val="69326A75"/>
    <w:rsid w:val="697D1C4D"/>
    <w:rsid w:val="69DB22EB"/>
    <w:rsid w:val="69EC042C"/>
    <w:rsid w:val="6A460846"/>
    <w:rsid w:val="6B194EAA"/>
    <w:rsid w:val="6B1B37EB"/>
    <w:rsid w:val="6B4B4887"/>
    <w:rsid w:val="6B5352D2"/>
    <w:rsid w:val="6B926D42"/>
    <w:rsid w:val="6B993C14"/>
    <w:rsid w:val="6C3A6C08"/>
    <w:rsid w:val="6C5A5643"/>
    <w:rsid w:val="6C6E1F1C"/>
    <w:rsid w:val="6CD401C0"/>
    <w:rsid w:val="6CFE4FAE"/>
    <w:rsid w:val="6D412844"/>
    <w:rsid w:val="6DC21790"/>
    <w:rsid w:val="6DF6102D"/>
    <w:rsid w:val="6E6A234A"/>
    <w:rsid w:val="6E893F47"/>
    <w:rsid w:val="6EE55B4B"/>
    <w:rsid w:val="6F705230"/>
    <w:rsid w:val="6F840ABE"/>
    <w:rsid w:val="6FEE26D6"/>
    <w:rsid w:val="6FF671C3"/>
    <w:rsid w:val="70750E6B"/>
    <w:rsid w:val="70BF0B87"/>
    <w:rsid w:val="70C203C3"/>
    <w:rsid w:val="70C53AC0"/>
    <w:rsid w:val="70D11A38"/>
    <w:rsid w:val="715747D1"/>
    <w:rsid w:val="71FA0061"/>
    <w:rsid w:val="72AA4776"/>
    <w:rsid w:val="72B66D26"/>
    <w:rsid w:val="72B86D91"/>
    <w:rsid w:val="72D531AB"/>
    <w:rsid w:val="733B6B9E"/>
    <w:rsid w:val="73771F26"/>
    <w:rsid w:val="73CD0DE0"/>
    <w:rsid w:val="73E00818"/>
    <w:rsid w:val="73EC5DCD"/>
    <w:rsid w:val="740320CB"/>
    <w:rsid w:val="74315AB3"/>
    <w:rsid w:val="7432426C"/>
    <w:rsid w:val="74772263"/>
    <w:rsid w:val="74A7535A"/>
    <w:rsid w:val="74B731D8"/>
    <w:rsid w:val="74ED719F"/>
    <w:rsid w:val="750A1B96"/>
    <w:rsid w:val="755E374E"/>
    <w:rsid w:val="75865A60"/>
    <w:rsid w:val="75A35643"/>
    <w:rsid w:val="75B57CAE"/>
    <w:rsid w:val="75D85B7D"/>
    <w:rsid w:val="75F0011F"/>
    <w:rsid w:val="769B6132"/>
    <w:rsid w:val="76B50CA9"/>
    <w:rsid w:val="76D53DF8"/>
    <w:rsid w:val="76D67BC8"/>
    <w:rsid w:val="781068C4"/>
    <w:rsid w:val="78231EC1"/>
    <w:rsid w:val="78477408"/>
    <w:rsid w:val="78670941"/>
    <w:rsid w:val="78745E80"/>
    <w:rsid w:val="788D0F01"/>
    <w:rsid w:val="78956EDA"/>
    <w:rsid w:val="78991646"/>
    <w:rsid w:val="78C613BA"/>
    <w:rsid w:val="78D37279"/>
    <w:rsid w:val="799057E1"/>
    <w:rsid w:val="79B40A0B"/>
    <w:rsid w:val="7AD55B94"/>
    <w:rsid w:val="7B0B648F"/>
    <w:rsid w:val="7B1C14D3"/>
    <w:rsid w:val="7B365FD3"/>
    <w:rsid w:val="7B3A6687"/>
    <w:rsid w:val="7B86198F"/>
    <w:rsid w:val="7BDC7DB0"/>
    <w:rsid w:val="7C2F40B6"/>
    <w:rsid w:val="7D2A292F"/>
    <w:rsid w:val="7D475985"/>
    <w:rsid w:val="7D697565"/>
    <w:rsid w:val="7DCC1E1B"/>
    <w:rsid w:val="7E7B4A3D"/>
    <w:rsid w:val="7ECD4053"/>
    <w:rsid w:val="7FA9061C"/>
    <w:rsid w:val="7FCA41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7"/>
    <w:pPr>
      <w:outlineLvl w:val="0"/>
    </w:pPr>
    <w:rPr>
      <w:sz w:val="28"/>
      <w:szCs w:val="28"/>
    </w:rPr>
  </w:style>
  <w:style w:type="paragraph" w:styleId="5">
    <w:name w:val="heading 2"/>
    <w:basedOn w:val="1"/>
    <w:next w:val="1"/>
    <w:qFormat/>
    <w:uiPriority w:val="1"/>
    <w:pPr>
      <w:spacing w:before="23"/>
      <w:ind w:left="101"/>
      <w:outlineLvl w:val="1"/>
    </w:pPr>
    <w:rPr>
      <w:rFonts w:ascii="方正大黑简体" w:hAnsi="方正大黑简体" w:eastAsia="方正大黑简体" w:cs="方正大黑简体"/>
      <w:sz w:val="32"/>
      <w:szCs w:val="32"/>
    </w:rPr>
  </w:style>
  <w:style w:type="paragraph" w:styleId="6">
    <w:name w:val="heading 3"/>
    <w:basedOn w:val="1"/>
    <w:next w:val="1"/>
    <w:qFormat/>
    <w:uiPriority w:val="1"/>
    <w:pPr>
      <w:spacing w:before="32"/>
      <w:ind w:left="435" w:hanging="326"/>
      <w:outlineLvl w:val="2"/>
    </w:pPr>
    <w:rPr>
      <w:rFonts w:ascii="方正黑体简体" w:hAnsi="方正黑体简体" w:eastAsia="方正黑体简体" w:cs="方正黑体简体"/>
      <w:sz w:val="30"/>
      <w:szCs w:val="30"/>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rPr>
  </w:style>
  <w:style w:type="paragraph" w:styleId="3">
    <w:name w:val="Body Text"/>
    <w:basedOn w:val="1"/>
    <w:next w:val="1"/>
    <w:qFormat/>
    <w:uiPriority w:val="1"/>
    <w:rPr>
      <w:sz w:val="25"/>
      <w:szCs w:val="25"/>
    </w:rPr>
  </w:style>
  <w:style w:type="paragraph" w:styleId="7">
    <w:name w:val="Normal Indent"/>
    <w:basedOn w:val="1"/>
    <w:qFormat/>
    <w:uiPriority w:val="0"/>
    <w:pPr>
      <w:ind w:firstLine="420" w:firstLineChars="200"/>
    </w:pPr>
    <w:rPr>
      <w:rFonts w:ascii="Calibri" w:hAnsi="Calibri" w:eastAsia="宋体" w:cs="Times New Roman"/>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qFormat/>
    <w:uiPriority w:val="0"/>
    <w:pPr>
      <w:spacing w:beforeAutospacing="1" w:afterAutospacing="1"/>
      <w:jc w:val="left"/>
    </w:pPr>
    <w:rPr>
      <w:kern w:val="0"/>
      <w:sz w:val="24"/>
    </w:rPr>
  </w:style>
  <w:style w:type="character" w:styleId="14">
    <w:name w:val="Hyperlink"/>
    <w:basedOn w:val="13"/>
    <w:qFormat/>
    <w:uiPriority w:val="0"/>
    <w:rPr>
      <w:color w:val="0000FF"/>
      <w:u w:val="single"/>
    </w:rPr>
  </w:style>
  <w:style w:type="paragraph" w:customStyle="1" w:styleId="15">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6">
    <w:name w:val="p0"/>
    <w:basedOn w:val="1"/>
    <w:qFormat/>
    <w:uiPriority w:val="0"/>
    <w:pPr>
      <w:widowControl/>
    </w:pPr>
    <w:rPr>
      <w:rFonts w:ascii="Times New Roman" w:hAnsi="Times New Roman" w:cs="Times New Roman"/>
      <w:kern w:val="0"/>
      <w:szCs w:val="21"/>
    </w:rPr>
  </w:style>
  <w:style w:type="paragraph" w:customStyle="1" w:styleId="17">
    <w:name w:val="p15"/>
    <w:basedOn w:val="1"/>
    <w:qFormat/>
    <w:uiPriority w:val="0"/>
    <w:pPr>
      <w:widowControl/>
    </w:pPr>
    <w:rPr>
      <w:rFonts w:ascii="宋体" w:hAnsi="宋体" w:cs="宋体"/>
      <w:kern w:val="0"/>
      <w:szCs w:val="21"/>
    </w:rPr>
  </w:style>
  <w:style w:type="character" w:customStyle="1" w:styleId="18">
    <w:name w:val="font31"/>
    <w:basedOn w:val="13"/>
    <w:qFormat/>
    <w:uiPriority w:val="0"/>
    <w:rPr>
      <w:rFonts w:hint="eastAsia" w:ascii="宋体" w:hAnsi="宋体" w:eastAsia="宋体" w:cs="宋体"/>
      <w:color w:val="000000"/>
      <w:sz w:val="24"/>
      <w:szCs w:val="24"/>
      <w:u w:val="none"/>
    </w:rPr>
  </w:style>
  <w:style w:type="character" w:customStyle="1" w:styleId="19">
    <w:name w:val="font0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character" w:customStyle="1" w:styleId="22">
    <w:name w:val="font41"/>
    <w:basedOn w:val="13"/>
    <w:qFormat/>
    <w:uiPriority w:val="0"/>
    <w:rPr>
      <w:rFonts w:hint="eastAsia" w:ascii="宋体" w:hAnsi="宋体" w:eastAsia="宋体" w:cs="宋体"/>
      <w:color w:val="000000"/>
      <w:sz w:val="24"/>
      <w:szCs w:val="24"/>
      <w:u w:val="none"/>
    </w:rPr>
  </w:style>
  <w:style w:type="character" w:customStyle="1" w:styleId="23">
    <w:name w:val="font51"/>
    <w:basedOn w:val="13"/>
    <w:qFormat/>
    <w:uiPriority w:val="0"/>
    <w:rPr>
      <w:rFonts w:hint="eastAsia" w:ascii="宋体" w:hAnsi="宋体" w:eastAsia="宋体" w:cs="宋体"/>
      <w:color w:val="000000"/>
      <w:sz w:val="24"/>
      <w:szCs w:val="24"/>
      <w:u w:val="none"/>
    </w:rPr>
  </w:style>
  <w:style w:type="character" w:customStyle="1" w:styleId="24">
    <w:name w:val="font61"/>
    <w:basedOn w:val="13"/>
    <w:qFormat/>
    <w:uiPriority w:val="0"/>
    <w:rPr>
      <w:rFonts w:hint="eastAsia" w:ascii="宋体" w:hAnsi="宋体" w:eastAsia="宋体" w:cs="宋体"/>
      <w:color w:val="000000"/>
      <w:sz w:val="24"/>
      <w:szCs w:val="24"/>
      <w:u w:val="none"/>
    </w:rPr>
  </w:style>
  <w:style w:type="paragraph" w:styleId="25">
    <w:name w:val="List Paragraph"/>
    <w:basedOn w:val="1"/>
    <w:unhideWhenUsed/>
    <w:qFormat/>
    <w:uiPriority w:val="1"/>
    <w:pPr>
      <w:spacing w:beforeLines="0" w:afterLines="0"/>
      <w:ind w:left="1332" w:hanging="360"/>
    </w:pPr>
    <w:rPr>
      <w:rFonts w:hint="eastAsia"/>
      <w:sz w:val="24"/>
    </w:rPr>
  </w:style>
  <w:style w:type="paragraph" w:customStyle="1" w:styleId="26">
    <w:name w:val="Body Text First Indent1"/>
    <w:basedOn w:val="3"/>
    <w:next w:val="1"/>
    <w:qFormat/>
    <w:uiPriority w:val="0"/>
    <w:pPr>
      <w:ind w:firstLine="420" w:firstLineChars="100"/>
    </w:pPr>
  </w:style>
  <w:style w:type="paragraph" w:customStyle="1" w:styleId="27">
    <w:name w:val="p16"/>
    <w:basedOn w:val="1"/>
    <w:qFormat/>
    <w:uiPriority w:val="0"/>
    <w:pPr>
      <w:widowControl/>
    </w:pPr>
    <w:rPr>
      <w:kern w:val="0"/>
      <w:szCs w:val="21"/>
    </w:rPr>
  </w:style>
  <w:style w:type="character" w:customStyle="1" w:styleId="28">
    <w:name w:val="font8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17398</Words>
  <Characters>23787</Characters>
  <Lines>0</Lines>
  <Paragraphs>0</Paragraphs>
  <TotalTime>0</TotalTime>
  <ScaleCrop>false</ScaleCrop>
  <LinksUpToDate>false</LinksUpToDate>
  <CharactersWithSpaces>31280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2020-02-18T14:01:00Z</dcterms:created>
  <dc:creator>丽芝</dc:creator>
  <cp:lastModifiedBy>Administrator</cp:lastModifiedBy>
  <cp:lastPrinted>2022-06-27T01:30:00Z</cp:lastPrinted>
  <dcterms:modified xsi:type="dcterms:W3CDTF">2023-09-19T06:27:25Z</dcterms:modified>
  <dc:title>济源市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E247C5CAAC5848F99D441DEECAA90E46</vt:lpwstr>
  </property>
  <property fmtid="{D5CDD505-2E9C-101B-9397-08002B2CF9AE}" pid="4" name="commondata">
    <vt:lpwstr>eyJoZGlkIjoiMjNmZDNjMzIzYTI0MjJjMzViZjFkZDAxM2Y2ZTljMmUifQ==</vt:lpwstr>
  </property>
</Properties>
</file>