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before="295" w:beforeLines="50" w:after="295" w:afterLines="50" w:line="600" w:lineRule="exact"/>
        <w:jc w:val="center"/>
        <w:rPr>
          <w:rFonts w:hint="eastAsia" w:eastAsia="方正小标宋简体" w:cs="华文中宋"/>
          <w:sz w:val="44"/>
          <w:szCs w:val="44"/>
        </w:rPr>
      </w:pPr>
      <w:bookmarkStart w:id="0" w:name="_GoBack"/>
      <w:r>
        <w:rPr>
          <w:rFonts w:hint="eastAsia" w:eastAsia="方正小标宋简体" w:cs="华文中宋"/>
          <w:sz w:val="44"/>
          <w:szCs w:val="44"/>
        </w:rPr>
        <w:t>济源市农村承包土地的经营权抵押贷款试点工作责任分工</w:t>
      </w:r>
      <w:bookmarkEnd w:id="0"/>
    </w:p>
    <w:tbl>
      <w:tblPr>
        <w:tblStyle w:val="8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12"/>
        <w:gridCol w:w="1451"/>
        <w:gridCol w:w="14"/>
        <w:gridCol w:w="215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701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工作任务</w:t>
            </w:r>
          </w:p>
        </w:tc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牵头部门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责任单位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67" w:type="dxa"/>
            <w:gridSpan w:val="5"/>
            <w:vAlign w:val="center"/>
          </w:tcPr>
          <w:p>
            <w:pPr>
              <w:spacing w:line="440" w:lineRule="exact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一、创新多样化农村承包土地的经营权抵押贷款产品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pacing w:line="440" w:lineRule="exact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结合农村承包土地的经营权属性，围绕农户、种养大户、家庭农场、农民合作社、农业产业化龙头企业等农业经营主体需求，在贷款利率、期限、额度、担保、风险控制等方面加大创新力度，简化贷款管理流程，扎实推进农村承包土地的经营权抵押贷款业务开展。鼓励对经营规模适度的农业经营主体发放贷款。承办银行在农村承包土地的经营权剩余使用期限内发放款。</w:t>
            </w:r>
          </w:p>
        </w:tc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市人行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各商业银行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15" w:type="dxa"/>
            <w:gridSpan w:val="6"/>
            <w:vAlign w:val="center"/>
          </w:tcPr>
          <w:p>
            <w:pPr>
              <w:spacing w:line="440" w:lineRule="exact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二、建立健全配套机制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467" w:type="dxa"/>
            <w:gridSpan w:val="5"/>
            <w:vAlign w:val="center"/>
          </w:tcPr>
          <w:p>
            <w:pPr>
              <w:spacing w:line="440" w:lineRule="exact"/>
              <w:rPr>
                <w:rFonts w:hint="eastAsia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（一）全面完成农村承包土地的经营权确权登记颁证工作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确权、登记、颁证、公示等多种方式，清晰界定产权，向家庭承包方式取得土地承包经营权的农户颁发土地承包经营权证。对向银行申请贷款的土地承包经营权流转大户，如家庭农场、种养大户、农民专业合作社等颁发土地流转鉴证书，用于向经办银行申请承包土地的经营权抵押贷款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市农牧局</w:t>
            </w:r>
          </w:p>
        </w:tc>
        <w:tc>
          <w:tcPr>
            <w:tcW w:w="215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市委农办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2016年12月31号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115" w:type="dxa"/>
            <w:gridSpan w:val="6"/>
            <w:vAlign w:val="center"/>
          </w:tcPr>
          <w:p>
            <w:pPr>
              <w:spacing w:line="440" w:lineRule="exact"/>
              <w:rPr>
                <w:rFonts w:hint="eastAsia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（二）建立完善抵押物价值评估体系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制定评估标准、技术规范等业务准则，综合考虑农用土地分等定级估价成果、土地已付租金、平均预期纯收入、经营权剩余年限以及地上（含地下）附着物等因素，科学评估土地流转基准价值，出具价值评估报告，形成标准化的评估流程和框架。承办银行主要通过自行评估、委托有关专家测算或者借贷双方协商确定等方式，公正、公平、客观确定农村承包土地的经营权价值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市人行</w:t>
            </w:r>
          </w:p>
        </w:tc>
        <w:tc>
          <w:tcPr>
            <w:tcW w:w="215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各商业银行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pacing w:line="440" w:lineRule="exact"/>
              <w:rPr>
                <w:rFonts w:hint="eastAsia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逐步引进或成立第三方专业评估机构，实现评估专业化。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市委农办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市农牧局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市林业局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15" w:type="dxa"/>
            <w:gridSpan w:val="6"/>
            <w:vAlign w:val="center"/>
          </w:tcPr>
          <w:p>
            <w:pPr>
              <w:spacing w:line="440" w:lineRule="exact"/>
              <w:rPr>
                <w:rFonts w:hint="eastAsia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（三）进一步完善农村产权交易中心服务功能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研究制定和完善农村产权交易相关制度及运行机制，明确农村产权交易、流转、抵押、登记相关操作办法。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144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市委农办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pacing w:val="-9"/>
                <w:sz w:val="28"/>
                <w:szCs w:val="28"/>
              </w:rPr>
              <w:t>市公共资源交易中心、市农牧局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不断拓展和完善交易平台的服务功能，逐步发展成集信息发布、产权交易、法律咨询、资产评估、抵押融资等为一体的为农服务综合平台。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市公共资源交易中心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市委农办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15" w:type="dxa"/>
            <w:gridSpan w:val="6"/>
            <w:vAlign w:val="center"/>
          </w:tcPr>
          <w:p>
            <w:pPr>
              <w:spacing w:line="440" w:lineRule="exact"/>
              <w:rPr>
                <w:rFonts w:hint="eastAsia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（四）建立完善抵押物处置机制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center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通过建立多级联网的流转交易平台进行挂牌处置和市场化再流转，在保障农户承包权、优先受让权和土地持续生产能力的前提下，将获得的收益优先弥补承办银行发放贷款的损失。借贷双方还可根据合同约定，</w:t>
            </w:r>
          </w:p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/>
                <w:b/>
                <w:spacing w:val="4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向仲裁机构申请仲裁或者向人民法院提起诉讼。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144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市委农办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法院、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市政府金融办、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各商业银行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67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（五）建立健全风险补偿及缓释机制</w:t>
            </w:r>
          </w:p>
        </w:tc>
        <w:tc>
          <w:tcPr>
            <w:tcW w:w="264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出资设立贷款风险补偿基金，逐年增加农村承包土地的经营权抵押贷款风险补偿基金规模，不断扩大风险补偿基金的覆盖面，每年在原有基金的基础上以10%的比例增加，对抵押贷款形成的风险给予经办银行一定的风险补偿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市农牧局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市财政局、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各商业银行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2016年12月31日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研究出台地方性农业保险财政支持、补贴政策，扩大农业保险覆盖面。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市农牧局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市财政局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2016年12月31日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引导保险公司在人、财、物各方面加大对农业保险支持力度。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市金融办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市保险业协会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115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</w:rPr>
              <w:t>（六）大力加强农村信用体系建设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3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>
            <w:pPr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</w:rPr>
              <w:t>持续开展农村信用体系建设，培育“信用镇（街道）”、“信用村”、“信用户”，完善农村、农户、农业企业信用记录和档案，构建农村信用信息数据库，探索与人民银行的征信系统进行联网和信息共享，把信用体系建设和经营权抵押贷款工作相结合，提高融资服务力度和成效。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市发展和改革委员会</w:t>
            </w:r>
          </w:p>
        </w:tc>
        <w:tc>
          <w:tcPr>
            <w:tcW w:w="215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市人行、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各商业银行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</w:tc>
      </w:tr>
    </w:tbl>
    <w:p>
      <w:pPr>
        <w:spacing w:line="602" w:lineRule="exact"/>
        <w:ind w:firstLine="624" w:firstLineChars="200"/>
        <w:rPr>
          <w:rFonts w:hint="eastAsia" w:cs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F5A0C"/>
    <w:rsid w:val="21EF5A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pacing w:val="0"/>
      <w:sz w:val="32"/>
      <w:szCs w:val="24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">
    <w:name w:val=" Char Char Char"/>
    <w:basedOn w:val="1"/>
    <w:link w:val="5"/>
    <w:qFormat/>
    <w:uiPriority w:val="0"/>
    <w:rPr>
      <w:spacing w:val="0"/>
      <w:sz w:val="32"/>
      <w:szCs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2016-07-21T02:52:00Z</dcterms:created>
  <dc:creator>Administrator</dc:creator>
  <cp:lastModifiedBy>Administrator</cp:lastModifiedBy>
  <dcterms:modified xsi:type="dcterms:W3CDTF">2016-07-21T02:53:30Z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