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3680"/>
        </w:tabs>
        <w:wordWrap/>
        <w:adjustRightInd w:val="0"/>
        <w:snapToGrid w:val="0"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宋体" w:hAnsi="宋体" w:eastAsia="黑体" w:cs="黑体"/>
          <w:spacing w:val="8"/>
          <w:sz w:val="30"/>
          <w:szCs w:val="30"/>
        </w:rPr>
      </w:pPr>
      <w:r>
        <w:rPr>
          <w:rFonts w:hint="eastAsia" w:ascii="宋体" w:hAnsi="宋体" w:eastAsia="黑体" w:cs="黑体"/>
          <w:spacing w:val="8"/>
          <w:sz w:val="30"/>
          <w:szCs w:val="30"/>
        </w:rPr>
        <w:t>10</w:t>
      </w:r>
      <w:r>
        <w:rPr>
          <w:rFonts w:hint="eastAsia" w:ascii="宋体" w:hAnsi="宋体" w:eastAsia="黑体" w:cs="黑体"/>
          <w:spacing w:val="8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黑体" w:cs="黑体"/>
          <w:spacing w:val="8"/>
          <w:sz w:val="30"/>
          <w:szCs w:val="30"/>
        </w:rPr>
        <w:t>附件</w:t>
      </w: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楷体_GB2312" w:cs="楷体_GB2312"/>
          <w:spacing w:val="8"/>
          <w:kern w:val="2"/>
          <w:sz w:val="30"/>
          <w:szCs w:val="30"/>
          <w:lang w:val="en-US" w:eastAsia="zh-CN" w:bidi="ar-SA"/>
        </w:rPr>
        <w:pict>
          <v:shape id="ECB019B1-382A-4266-B25C-5B523AA43C14-1" o:spid="_x0000_s1025" type="#_x0000_t75" style="position:absolute;left:0;margin-left:-73.95pt;margin-top:127.25pt;height:403.9pt;width:590.1pt;rotation:1769472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  <w:t>10.1  示范区突发事件应急组织指挥体系结构图</w:t>
      </w: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632" w:firstLineChars="200"/>
        <w:jc w:val="both"/>
        <w:textAlignment w:val="auto"/>
        <w:sectPr>
          <w:footerReference r:id="rId4" w:type="default"/>
          <w:pgSz w:w="11906" w:h="16838"/>
          <w:pgMar w:top="1871" w:right="1531" w:bottom="1701" w:left="153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  <w:t>10.2  较大及以上突发事件示范区应急处置流程</w:t>
      </w:r>
    </w:p>
    <w:p>
      <w:pPr>
        <w:spacing w:line="60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_GB2312" w:cs="楷体_GB2312"/>
          <w:spacing w:val="8"/>
          <w:kern w:val="2"/>
          <w:sz w:val="30"/>
          <w:szCs w:val="30"/>
          <w:lang w:val="en-US" w:eastAsia="zh-CN" w:bidi="ar-SA"/>
        </w:rPr>
        <w:pict>
          <v:shape id="ECB019B1-382A-4266-B25C-5B523AA43C14-2" o:spid="_x0000_s1026" type="#_x0000_t75" style="position:absolute;left:0;margin-left:4.05pt;margin-top:0.8pt;height:623.85pt;width:436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pStyle w:val="2"/>
        <w:spacing w:line="600" w:lineRule="exact"/>
        <w:ind w:left="0" w:leftChars="0" w:firstLine="640"/>
        <w:sectPr>
          <w:pgSz w:w="11906" w:h="16838"/>
          <w:pgMar w:top="1871" w:right="1531" w:bottom="1701" w:left="153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  <w:r>
        <w:rPr>
          <w:rFonts w:ascii="Calibri" w:hAnsi="Calibri" w:eastAsia="宋体" w:cs="Times New Roman"/>
          <w:kern w:val="2"/>
          <w:sz w:val="30"/>
          <w:szCs w:val="24"/>
          <w:lang w:val="en-US" w:eastAsia="zh-CN" w:bidi="ar-SA"/>
        </w:rPr>
        <w:pict>
          <v:rect id="文本框 9" o:spid="_x0000_s1027" style="position:absolute;left:0;margin-left:176.4pt;margin-top:436.5pt;height:29.5pt;width:33.8pt;rotation:0f;z-index:25166540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思源黑体 CN Regular" w:hAnsi="思源黑体 CN Regular" w:eastAsia="思源黑体 CN Regular" w:cs="思源黑体 CN Regular"/>
                      <w:lang w:eastAsia="zh-CN"/>
                    </w:rPr>
                  </w:pPr>
                  <w:r>
                    <w:rPr>
                      <w:rFonts w:hint="eastAsia" w:ascii="思源黑体 CN Regular" w:hAnsi="思源黑体 CN Regular" w:eastAsia="思源黑体 CN Regular" w:cs="思源黑体 CN Regular"/>
                      <w:lang w:eastAsia="zh-CN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30"/>
          <w:szCs w:val="24"/>
          <w:lang w:val="en-US" w:eastAsia="zh-CN" w:bidi="ar-SA"/>
        </w:rPr>
        <w:pict>
          <v:rect id="文本框 1" o:spid="_x0000_s1028" style="position:absolute;left:0;margin-left:235.75pt;margin-top:463.8pt;height:29.5pt;width:33.8pt;rotation:0f;z-index:25166438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思源黑体 CN Regular" w:hAnsi="思源黑体 CN Regular" w:eastAsia="思源黑体 CN Regular" w:cs="思源黑体 CN Regular"/>
                      <w:lang w:eastAsia="zh-CN"/>
                    </w:rPr>
                  </w:pPr>
                  <w:r>
                    <w:rPr>
                      <w:rFonts w:hint="eastAsia" w:ascii="思源黑体 CN Regular" w:hAnsi="思源黑体 CN Regular" w:eastAsia="思源黑体 CN Regular" w:cs="思源黑体 CN Regular"/>
                      <w:lang w:eastAsia="zh-CN"/>
                    </w:rPr>
                    <w:t>是</w:t>
                  </w:r>
                </w:p>
              </w:txbxContent>
            </v:textbox>
          </v:rect>
        </w:pict>
      </w: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  <w:t>10.3  突发事件应急预案类别、牵头部门</w:t>
      </w:r>
    </w:p>
    <w:p>
      <w:pPr>
        <w:widowControl w:val="0"/>
        <w:wordWrap/>
        <w:adjustRightInd/>
        <w:snapToGrid/>
        <w:spacing w:line="590" w:lineRule="exact"/>
        <w:ind w:firstLine="632" w:firstLineChars="200"/>
        <w:textAlignment w:val="auto"/>
        <w:rPr>
          <w:rFonts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（1）自然灾害类专项应急预案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88"/>
        <w:gridCol w:w="4428"/>
        <w:gridCol w:w="3555"/>
      </w:tblGrid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预案类别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牵头部门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防汛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抗旱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森林火灾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自然灾害救助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气象灾害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济源市气象局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低温雨雪冰冻灾害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地震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突发地质灾害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示范区自然资源和规划局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农业有害生物灾害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示范区农业农村局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林业有害生物灾害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示范区林业局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32" w:firstLineChars="200"/>
        <w:textAlignment w:val="auto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（2）事故灾难类专项应急预案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88"/>
        <w:gridCol w:w="4428"/>
        <w:gridCol w:w="3555"/>
      </w:tblGrid>
      <w:tr>
        <w:trPr>
          <w:trHeight w:val="556" w:hRule="atLeast"/>
          <w:tblHeader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预案类别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牵头部门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生产安全事故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火灾事故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济源市消防救援支队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道路交通事故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示范区公安局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公路水运工程生产安全事故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示范区交通运输局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市政基础设施工程事故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示范区住房和城乡建设局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供水突发事件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示范区住房和城乡建设局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燃气事故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示范区住房和城乡建设局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供热事故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示范区住房和城乡建设局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大面积停电事件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长输油气管线事故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通信网络事故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济源通信管理办公室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特种设备事故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示范区市场监督管理局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辐射事故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示范区生态环境局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重污染天气事件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示范区生态环境局</w:t>
            </w:r>
          </w:p>
        </w:tc>
      </w:tr>
      <w:tr>
        <w:trPr>
          <w:trHeight w:val="556" w:hRule="atLeast"/>
          <w:jc w:val="center"/>
        </w:trPr>
        <w:tc>
          <w:tcPr>
            <w:tcW w:w="10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突发生态环境事件</w:t>
            </w:r>
          </w:p>
        </w:tc>
        <w:tc>
          <w:tcPr>
            <w:tcW w:w="3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示范区生态环境局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32" w:firstLineChars="200"/>
        <w:textAlignment w:val="auto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（3）公共卫生事件类专项应急预案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04"/>
        <w:gridCol w:w="4399"/>
        <w:gridCol w:w="3568"/>
      </w:tblGrid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预案类别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牵头部门</w:t>
            </w:r>
          </w:p>
        </w:tc>
      </w:tr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传染病疫情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示范区卫生健康委员会</w:t>
            </w:r>
          </w:p>
        </w:tc>
      </w:tr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群体性不明原因疾病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示范区卫生健康委员会</w:t>
            </w:r>
          </w:p>
        </w:tc>
      </w:tr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急性中毒事件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示范区卫生健康委员会</w:t>
            </w:r>
          </w:p>
        </w:tc>
      </w:tr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食品安全事件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示范区市场监督管理局</w:t>
            </w:r>
          </w:p>
        </w:tc>
      </w:tr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药品安全事件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示范区市场监督管理局</w:t>
            </w:r>
          </w:p>
        </w:tc>
      </w:tr>
      <w:tr>
        <w:trPr>
          <w:trHeight w:val="584" w:hRule="atLeast"/>
          <w:jc w:val="center"/>
        </w:trPr>
        <w:tc>
          <w:tcPr>
            <w:tcW w:w="11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动物疫情</w:t>
            </w:r>
          </w:p>
        </w:tc>
        <w:tc>
          <w:tcPr>
            <w:tcW w:w="35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示范区农业农村局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32" w:firstLineChars="200"/>
        <w:textAlignment w:val="auto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（4）社会安全事件类专项应急预案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89"/>
        <w:gridCol w:w="4399"/>
        <w:gridCol w:w="3583"/>
      </w:tblGrid>
      <w:tr>
        <w:trPr>
          <w:trHeight w:val="567" w:hRule="atLeast"/>
          <w:tblHeader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预案类别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牵头部门</w:t>
            </w:r>
          </w:p>
        </w:tc>
      </w:tr>
      <w:tr>
        <w:trPr>
          <w:trHeight w:val="584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恐怖袭击事件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示范区公安局</w:t>
            </w:r>
          </w:p>
        </w:tc>
      </w:tr>
      <w:tr>
        <w:trPr>
          <w:trHeight w:val="584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刑事案件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示范区公安局</w:t>
            </w:r>
          </w:p>
        </w:tc>
      </w:tr>
      <w:tr>
        <w:trPr>
          <w:trHeight w:val="584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群体性事件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示范区党工委政法委员会</w:t>
            </w:r>
          </w:p>
        </w:tc>
      </w:tr>
      <w:tr>
        <w:trPr>
          <w:trHeight w:val="584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影响生活必需品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供应市场稳定突发事件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</w:t>
            </w:r>
          </w:p>
        </w:tc>
      </w:tr>
      <w:tr>
        <w:trPr>
          <w:trHeight w:val="5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油气供应中断突发事件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</w:t>
            </w:r>
          </w:p>
        </w:tc>
      </w:tr>
      <w:tr>
        <w:trPr>
          <w:trHeight w:val="5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金融突发事件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人行济源支行</w:t>
            </w:r>
          </w:p>
        </w:tc>
      </w:tr>
      <w:tr>
        <w:trPr>
          <w:trHeight w:val="5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涉外突发事件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示范区党工委外事工作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委员会办公室</w:t>
            </w:r>
          </w:p>
        </w:tc>
      </w:tr>
      <w:tr>
        <w:trPr>
          <w:trHeight w:val="5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民族宗教事件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示范区党工委统战部</w:t>
            </w:r>
          </w:p>
        </w:tc>
      </w:tr>
      <w:tr>
        <w:trPr>
          <w:trHeight w:val="5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粮食安全事件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（粮食和物资储备局）</w:t>
            </w:r>
          </w:p>
        </w:tc>
      </w:tr>
      <w:tr>
        <w:trPr>
          <w:trHeight w:val="567" w:hRule="atLeast"/>
          <w:jc w:val="center"/>
        </w:trPr>
        <w:tc>
          <w:tcPr>
            <w:tcW w:w="10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3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网络与信息安全事件</w:t>
            </w:r>
          </w:p>
        </w:tc>
        <w:tc>
          <w:tcPr>
            <w:tcW w:w="35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示范区党工委宣传部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根据突发事件应对需要及国家有关要求，视情调整相关专项应急预案。</w:t>
      </w: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楷体_GB2312" w:cs="楷体_GB2312"/>
          <w:spacing w:val="8"/>
          <w:sz w:val="30"/>
          <w:szCs w:val="30"/>
          <w:lang w:eastAsia="zh-CN"/>
        </w:rPr>
        <w:t>10.4  突发事件应急保障工作牵头部门和支持部门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69"/>
        <w:gridCol w:w="1371"/>
        <w:gridCol w:w="3057"/>
        <w:gridCol w:w="3974"/>
      </w:tblGrid>
      <w:tr>
        <w:trPr>
          <w:trHeight w:val="595" w:hRule="atLeast"/>
          <w:tblHeader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应急保障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措施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牵头部门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支持部门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rPr>
          <w:trHeight w:val="1257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交通运输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示范区交通运输局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示范区应急管理局、发展改革和统计局</w:t>
            </w:r>
          </w:p>
        </w:tc>
      </w:tr>
      <w:tr>
        <w:trPr>
          <w:trHeight w:val="1412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医学救援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示范区卫生健康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委员会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示范区发展改革和统计局、工业和科技创新委员会、市场监督管理局、济源市红十字会</w:t>
            </w:r>
          </w:p>
        </w:tc>
      </w:tr>
      <w:tr>
        <w:trPr>
          <w:trHeight w:val="1258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能源供应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和统计局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示范区国有资产监督管理局、济源市人武部</w:t>
            </w:r>
          </w:p>
        </w:tc>
      </w:tr>
      <w:tr>
        <w:trPr>
          <w:trHeight w:val="1545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通信保障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济源通信管理办公室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示范区工业和科技创新委员会、文化广电和旅游局、公安局、交通运输局、济源市人武部、济源市气象局</w:t>
            </w:r>
          </w:p>
        </w:tc>
      </w:tr>
      <w:tr>
        <w:trPr>
          <w:trHeight w:val="1369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灾害现场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示范区自然资源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和规划局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示范区生态环境局、交通运输局、工业和科技创新委员会、济源市人武部</w:t>
            </w:r>
          </w:p>
        </w:tc>
      </w:tr>
      <w:tr>
        <w:trPr>
          <w:trHeight w:val="1191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抢险救援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物资装备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示范区工业和科技创新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委员会、发展改革和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统计局、财政金融局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示范区公安局、应急管理局、交通运输局、水利局、自然资源和规划局、国有资产监督管理局、济源市人武部</w:t>
            </w:r>
          </w:p>
        </w:tc>
      </w:tr>
      <w:tr>
        <w:trPr>
          <w:trHeight w:val="1191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自然灾害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救助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示范区应急管理局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示范区发展改革和统计局、财政金融局、民政局、住房和城乡建设局、交通运输局、卫生健康委员会、农业农村局、林业局、济源市人武部、济源市红十字会</w:t>
            </w:r>
          </w:p>
        </w:tc>
      </w:tr>
      <w:tr>
        <w:trPr>
          <w:trHeight w:val="1191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社会秩序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示范区公安局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济源市人武部、武警河南省总队济源大队</w:t>
            </w:r>
          </w:p>
        </w:tc>
      </w:tr>
      <w:tr>
        <w:trPr>
          <w:trHeight w:val="1191" w:hRule="atLeast"/>
          <w:jc w:val="center"/>
        </w:trPr>
        <w:tc>
          <w:tcPr>
            <w:tcW w:w="6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新闻宣传</w:t>
            </w:r>
          </w:p>
        </w:tc>
        <w:tc>
          <w:tcPr>
            <w:tcW w:w="30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示范区党工委宣传部</w:t>
            </w:r>
          </w:p>
        </w:tc>
        <w:tc>
          <w:tcPr>
            <w:tcW w:w="39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示范区党工委网信办、济源新闻传媒中心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</w:t>
      </w:r>
      <w:r>
        <w:rPr>
          <w:rFonts w:ascii="仿宋_GB2312" w:hAnsi="仿宋_GB2312" w:eastAsia="仿宋_GB2312" w:cs="仿宋_GB2312"/>
          <w:sz w:val="28"/>
          <w:szCs w:val="28"/>
        </w:rPr>
        <w:t>：根据突发事件应对需要及国家有关要求，视情调整相关部门和单位。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sectPr>
          <w:pgSz w:w="11906" w:h="16838"/>
          <w:pgMar w:top="1871" w:right="1531" w:bottom="1701" w:left="153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 w:val="0"/>
        <w:wordWrap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eastAsia" w:cs="Times New Roman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line id="直接连接符 4" o:spid="_x0000_s1029" style="position:absolute;left:0;margin-left:0pt;margin-top:32.1pt;height:0.05pt;width:442.2pt;rotation:0f;z-index:251662336;" o:ole="f" fillcolor="#FFFFFF" filled="f" o:preferrelative="t" stroked="t" coordsize="21600,21600">
            <v:fill on="f" color2="#FFFFFF" focus="0%"/>
            <v:stroke weight="1.2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line id="直接连接符 5" o:spid="_x0000_s1030" style="position:absolute;left:0;margin-left:0pt;margin-top:3.3pt;height:0.05pt;width:442.2pt;rotation:0f;z-index:251663360;" o:ole="f" fillcolor="#FFFFFF" filled="f" o:preferrelative="t" stroked="t" coordsize="21600,21600">
            <v:fill on="f" color2="#FFFFFF" focus="0%"/>
            <v:stroke weight="1.2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 xml:space="preserve">济源产城融合示范区管理委员会办公室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20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年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月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日印发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pict>
          <v:rect id="矩形 6" o:spid="_x0000_s1031" style="position:absolute;left:0;margin-left:368pt;margin-top:652.5pt;height:36.05pt;width:76.85pt;rotation:0f;z-index:251661312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-ideographic;"/>
          </v:rect>
        </w:pic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8"/>
          <w:kern w:val="2"/>
          <w:sz w:val="30"/>
          <w:szCs w:val="30"/>
          <w:lang w:val="en-US" w:eastAsia="zh-CN" w:bidi="ar-SA"/>
        </w:rPr>
        <w:pict>
          <v:rect id="矩形 7" o:spid="_x0000_s1032" style="position:absolute;left:0;margin-left:0pt;margin-top:536.5pt;height:21.75pt;width:80pt;rotation:0f;z-index:251660288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style="layout-flow:vertical;"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</w:p>
    <w:p>
      <w:pPr>
        <w:pStyle w:val="2"/>
        <w:rPr>
          <w:rFonts w:hint="eastAsia"/>
        </w:rPr>
      </w:pPr>
    </w:p>
    <w:sectPr>
      <w:pgSz w:w="11906" w:h="16838"/>
      <w:pgMar w:top="1871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Regular">
    <w:altName w:val="黑体"/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8" o:spid="_x0000_s1033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</w:style>
  <w:style w:type="paragraph" w:customStyle="1" w:styleId="2">
    <w:name w:val="Body Text First Indent 2"/>
    <w:basedOn w:val="3"/>
    <w:pPr>
      <w:ind w:firstLine="420" w:firstLineChars="200"/>
    </w:pPr>
  </w:style>
  <w:style w:type="paragraph" w:customStyle="1" w:styleId="3">
    <w:name w:val="Body Text Indent"/>
    <w:basedOn w:val="1"/>
    <w:next w:val="4"/>
    <w:pPr>
      <w:spacing w:after="120"/>
      <w:ind w:left="420" w:leftChars="200"/>
    </w:pPr>
  </w:style>
  <w:style w:type="paragraph" w:customStyle="1" w:styleId="4">
    <w:name w:val="Normal Indent"/>
    <w:basedOn w:val="1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pPr>
      <w:jc w:val="left"/>
    </w:pPr>
  </w:style>
  <w:style w:type="paragraph" w:styleId="6">
    <w:name w:val="Body Text"/>
    <w:basedOn w:val="1"/>
    <w:pPr>
      <w:spacing w:before="149"/>
      <w:ind w:left="756"/>
    </w:pPr>
    <w:rPr>
      <w:rFonts w:hint="eastAsia"/>
      <w:sz w:val="32"/>
    </w:rPr>
  </w:style>
  <w:style w:type="paragraph" w:styleId="7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简单回函地址"/>
    <w:basedOn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44</Pages>
  <Words>18854</Words>
  <Characters>19058</Characters>
  <Lines>139</Lines>
  <Paragraphs>39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2022-01-25T08:13:00Z</dcterms:created>
  <dc:creator>whitelea</dc:creator>
  <cp:lastPrinted>2022-02-08T08:59:00Z</cp:lastPrinted>
  <dcterms:modified xsi:type="dcterms:W3CDTF">2022-04-13T11:43:57Z</dcterms:modified>
  <dc:title>综合文印-一区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791388A1F6204C3483BABAD230C761B1</vt:lpwstr>
  </property>
</Properties>
</file>