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黑体" w:cs="黑体"/>
        </w:rPr>
      </w:pPr>
      <w:r>
        <w:rPr>
          <w:rFonts w:hint="eastAsia" w:eastAsia="黑体" w:cs="黑体"/>
        </w:rPr>
        <w:t>附件4</w:t>
      </w:r>
    </w:p>
    <w:p>
      <w:pPr>
        <w:spacing w:after="240" w:afterLines="100" w:line="660" w:lineRule="exact"/>
        <w:jc w:val="center"/>
        <w:rPr>
          <w:rFonts w:hint="eastAsia" w:eastAsia="方正小标宋简体" w:cs="方正小标宋简体"/>
          <w:sz w:val="44"/>
          <w:szCs w:val="44"/>
        </w:rPr>
      </w:pPr>
      <w:bookmarkStart w:id="0" w:name="_GoBack"/>
      <w:r>
        <w:rPr>
          <w:rFonts w:hint="eastAsia" w:eastAsia="方正小标宋简体" w:cs="方正小标宋简体"/>
          <w:sz w:val="44"/>
          <w:szCs w:val="44"/>
        </w:rPr>
        <w:t>市政府决定清理规范的行政审批中介服务事项目录</w:t>
      </w:r>
    </w:p>
    <w:bookmarkEnd w:id="0"/>
    <w:tbl>
      <w:tblPr>
        <w:tblStyle w:val="3"/>
        <w:tblW w:w="14049" w:type="dxa"/>
        <w:jc w:val="center"/>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4"/>
        <w:gridCol w:w="1419"/>
        <w:gridCol w:w="1689"/>
        <w:gridCol w:w="1388"/>
        <w:gridCol w:w="1879"/>
        <w:gridCol w:w="3036"/>
        <w:gridCol w:w="263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4" w:hRule="atLeast"/>
          <w:tblHeader/>
          <w:jc w:val="center"/>
        </w:trPr>
        <w:tc>
          <w:tcPr>
            <w:tcW w:w="554" w:type="dxa"/>
            <w:vAlign w:val="center"/>
          </w:tcPr>
          <w:p>
            <w:pPr>
              <w:spacing w:line="300" w:lineRule="exact"/>
              <w:jc w:val="center"/>
              <w:rPr>
                <w:rFonts w:hint="eastAsia" w:eastAsia="黑体" w:cs="黑体"/>
                <w:sz w:val="24"/>
                <w:szCs w:val="24"/>
              </w:rPr>
            </w:pPr>
            <w:r>
              <w:rPr>
                <w:rFonts w:hint="eastAsia" w:eastAsia="黑体" w:cs="黑体"/>
                <w:sz w:val="24"/>
                <w:szCs w:val="24"/>
              </w:rPr>
              <w:t>序号</w:t>
            </w:r>
          </w:p>
        </w:tc>
        <w:tc>
          <w:tcPr>
            <w:tcW w:w="1419" w:type="dxa"/>
            <w:vAlign w:val="center"/>
          </w:tcPr>
          <w:p>
            <w:pPr>
              <w:spacing w:line="300" w:lineRule="exact"/>
              <w:jc w:val="center"/>
              <w:rPr>
                <w:rFonts w:hint="eastAsia" w:eastAsia="黑体" w:cs="黑体"/>
                <w:sz w:val="24"/>
                <w:szCs w:val="24"/>
              </w:rPr>
            </w:pPr>
            <w:r>
              <w:rPr>
                <w:rFonts w:hint="eastAsia" w:eastAsia="黑体" w:cs="黑体"/>
                <w:sz w:val="24"/>
                <w:szCs w:val="24"/>
              </w:rPr>
              <w:t>审批部门</w:t>
            </w:r>
          </w:p>
        </w:tc>
        <w:tc>
          <w:tcPr>
            <w:tcW w:w="1689" w:type="dxa"/>
            <w:vAlign w:val="center"/>
          </w:tcPr>
          <w:p>
            <w:pPr>
              <w:spacing w:line="300" w:lineRule="exact"/>
              <w:jc w:val="center"/>
              <w:rPr>
                <w:rFonts w:hint="eastAsia" w:eastAsia="黑体" w:cs="黑体"/>
                <w:sz w:val="24"/>
                <w:szCs w:val="24"/>
              </w:rPr>
            </w:pPr>
            <w:r>
              <w:rPr>
                <w:rFonts w:hint="eastAsia" w:eastAsia="黑体" w:cs="黑体"/>
                <w:sz w:val="24"/>
                <w:szCs w:val="24"/>
              </w:rPr>
              <w:t>中介服务</w:t>
            </w:r>
          </w:p>
          <w:p>
            <w:pPr>
              <w:spacing w:line="300" w:lineRule="exact"/>
              <w:jc w:val="center"/>
              <w:rPr>
                <w:rFonts w:hint="eastAsia" w:eastAsia="黑体" w:cs="黑体"/>
                <w:sz w:val="24"/>
                <w:szCs w:val="24"/>
              </w:rPr>
            </w:pPr>
            <w:r>
              <w:rPr>
                <w:rFonts w:hint="eastAsia" w:eastAsia="黑体" w:cs="黑体"/>
                <w:sz w:val="24"/>
                <w:szCs w:val="24"/>
              </w:rPr>
              <w:t>事项编码</w:t>
            </w:r>
          </w:p>
        </w:tc>
        <w:tc>
          <w:tcPr>
            <w:tcW w:w="1388" w:type="dxa"/>
            <w:vAlign w:val="center"/>
          </w:tcPr>
          <w:p>
            <w:pPr>
              <w:spacing w:line="300" w:lineRule="exact"/>
              <w:jc w:val="center"/>
              <w:rPr>
                <w:rFonts w:hint="eastAsia" w:eastAsia="黑体" w:cs="黑体"/>
                <w:sz w:val="24"/>
                <w:szCs w:val="24"/>
              </w:rPr>
            </w:pPr>
            <w:r>
              <w:rPr>
                <w:rFonts w:hint="eastAsia" w:eastAsia="黑体" w:cs="黑体"/>
                <w:sz w:val="24"/>
                <w:szCs w:val="24"/>
              </w:rPr>
              <w:t>中介服务</w:t>
            </w:r>
          </w:p>
          <w:p>
            <w:pPr>
              <w:spacing w:line="300" w:lineRule="exact"/>
              <w:jc w:val="center"/>
              <w:rPr>
                <w:rFonts w:hint="eastAsia" w:eastAsia="黑体" w:cs="黑体"/>
                <w:sz w:val="24"/>
                <w:szCs w:val="24"/>
              </w:rPr>
            </w:pPr>
            <w:r>
              <w:rPr>
                <w:rFonts w:hint="eastAsia" w:eastAsia="黑体" w:cs="黑体"/>
                <w:sz w:val="24"/>
                <w:szCs w:val="24"/>
              </w:rPr>
              <w:t>事项名称</w:t>
            </w:r>
          </w:p>
        </w:tc>
        <w:tc>
          <w:tcPr>
            <w:tcW w:w="1879" w:type="dxa"/>
            <w:vAlign w:val="center"/>
          </w:tcPr>
          <w:p>
            <w:pPr>
              <w:spacing w:line="300" w:lineRule="exact"/>
              <w:jc w:val="center"/>
              <w:rPr>
                <w:rFonts w:hint="eastAsia" w:eastAsia="黑体" w:cs="黑体"/>
                <w:sz w:val="24"/>
                <w:szCs w:val="24"/>
              </w:rPr>
            </w:pPr>
            <w:r>
              <w:rPr>
                <w:rFonts w:hint="eastAsia" w:eastAsia="黑体" w:cs="黑体"/>
                <w:sz w:val="24"/>
                <w:szCs w:val="24"/>
              </w:rPr>
              <w:t>涉及的审批</w:t>
            </w:r>
          </w:p>
          <w:p>
            <w:pPr>
              <w:spacing w:line="300" w:lineRule="exact"/>
              <w:jc w:val="center"/>
              <w:rPr>
                <w:rFonts w:hint="eastAsia" w:eastAsia="黑体" w:cs="黑体"/>
                <w:sz w:val="24"/>
                <w:szCs w:val="24"/>
              </w:rPr>
            </w:pPr>
            <w:r>
              <w:rPr>
                <w:rFonts w:hint="eastAsia" w:eastAsia="黑体" w:cs="黑体"/>
                <w:sz w:val="24"/>
                <w:szCs w:val="24"/>
              </w:rPr>
              <w:t>事项项目名称</w:t>
            </w:r>
          </w:p>
        </w:tc>
        <w:tc>
          <w:tcPr>
            <w:tcW w:w="3036" w:type="dxa"/>
            <w:vAlign w:val="center"/>
          </w:tcPr>
          <w:p>
            <w:pPr>
              <w:spacing w:line="300" w:lineRule="exact"/>
              <w:jc w:val="center"/>
              <w:rPr>
                <w:rFonts w:hint="eastAsia" w:eastAsia="黑体" w:cs="黑体"/>
                <w:sz w:val="24"/>
                <w:szCs w:val="24"/>
              </w:rPr>
            </w:pPr>
            <w:r>
              <w:rPr>
                <w:rFonts w:hint="eastAsia" w:eastAsia="黑体" w:cs="黑体"/>
                <w:sz w:val="24"/>
                <w:szCs w:val="24"/>
              </w:rPr>
              <w:t>中介服务事项设定依据</w:t>
            </w:r>
          </w:p>
        </w:tc>
        <w:tc>
          <w:tcPr>
            <w:tcW w:w="2632" w:type="dxa"/>
            <w:vAlign w:val="center"/>
          </w:tcPr>
          <w:p>
            <w:pPr>
              <w:spacing w:line="300" w:lineRule="exact"/>
              <w:jc w:val="center"/>
              <w:rPr>
                <w:rFonts w:hint="eastAsia" w:eastAsia="黑体" w:cs="黑体"/>
                <w:sz w:val="24"/>
                <w:szCs w:val="24"/>
              </w:rPr>
            </w:pPr>
            <w:r>
              <w:rPr>
                <w:rFonts w:hint="eastAsia" w:eastAsia="黑体" w:cs="黑体"/>
                <w:sz w:val="24"/>
                <w:szCs w:val="24"/>
              </w:rPr>
              <w:t>处理决定</w:t>
            </w:r>
          </w:p>
        </w:tc>
        <w:tc>
          <w:tcPr>
            <w:tcW w:w="1452" w:type="dxa"/>
            <w:vAlign w:val="center"/>
          </w:tcPr>
          <w:p>
            <w:pPr>
              <w:spacing w:line="300" w:lineRule="exact"/>
              <w:jc w:val="center"/>
              <w:rPr>
                <w:rFonts w:hint="eastAsia" w:eastAsia="黑体" w:cs="黑体"/>
                <w:sz w:val="24"/>
                <w:szCs w:val="24"/>
              </w:rPr>
            </w:pPr>
            <w:r>
              <w:rPr>
                <w:rFonts w:hint="eastAsia"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57" w:hRule="atLeast"/>
          <w:jc w:val="center"/>
        </w:trPr>
        <w:tc>
          <w:tcPr>
            <w:tcW w:w="554" w:type="dxa"/>
            <w:vAlign w:val="center"/>
          </w:tcPr>
          <w:p>
            <w:pPr>
              <w:spacing w:line="300" w:lineRule="exact"/>
              <w:jc w:val="center"/>
              <w:rPr>
                <w:rFonts w:hint="eastAsia" w:cs="宋体"/>
                <w:sz w:val="24"/>
                <w:szCs w:val="24"/>
              </w:rPr>
            </w:pPr>
            <w:r>
              <w:rPr>
                <w:rFonts w:hint="eastAsia" w:cs="宋体"/>
                <w:sz w:val="24"/>
                <w:szCs w:val="24"/>
              </w:rPr>
              <w:t>1</w:t>
            </w:r>
          </w:p>
        </w:tc>
        <w:tc>
          <w:tcPr>
            <w:tcW w:w="1419" w:type="dxa"/>
            <w:vAlign w:val="center"/>
          </w:tcPr>
          <w:p>
            <w:pPr>
              <w:spacing w:line="300" w:lineRule="exact"/>
              <w:jc w:val="center"/>
              <w:rPr>
                <w:rFonts w:hint="eastAsia" w:cs="宋体"/>
                <w:sz w:val="24"/>
                <w:szCs w:val="24"/>
              </w:rPr>
            </w:pPr>
            <w:r>
              <w:rPr>
                <w:rFonts w:hint="eastAsia" w:cs="宋体"/>
                <w:sz w:val="24"/>
                <w:szCs w:val="24"/>
              </w:rPr>
              <w:t>市发展和</w:t>
            </w:r>
          </w:p>
          <w:p>
            <w:pPr>
              <w:spacing w:line="300" w:lineRule="exact"/>
              <w:jc w:val="center"/>
              <w:rPr>
                <w:rFonts w:hint="eastAsia" w:cs="宋体"/>
                <w:sz w:val="24"/>
                <w:szCs w:val="24"/>
              </w:rPr>
            </w:pPr>
            <w:r>
              <w:rPr>
                <w:rFonts w:hint="eastAsia" w:cs="宋体"/>
                <w:sz w:val="24"/>
                <w:szCs w:val="24"/>
              </w:rPr>
              <w:t>改革委员会</w:t>
            </w:r>
          </w:p>
        </w:tc>
        <w:tc>
          <w:tcPr>
            <w:tcW w:w="1689" w:type="dxa"/>
            <w:vAlign w:val="center"/>
          </w:tcPr>
          <w:p>
            <w:pPr>
              <w:spacing w:line="300" w:lineRule="exact"/>
              <w:jc w:val="center"/>
              <w:rPr>
                <w:rFonts w:hint="eastAsia" w:cs="宋体"/>
                <w:sz w:val="24"/>
                <w:szCs w:val="24"/>
              </w:rPr>
            </w:pPr>
            <w:r>
              <w:rPr>
                <w:rFonts w:hint="eastAsia" w:cs="宋体"/>
                <w:sz w:val="24"/>
                <w:szCs w:val="24"/>
              </w:rPr>
              <w:t>01—102—01</w:t>
            </w:r>
          </w:p>
        </w:tc>
        <w:tc>
          <w:tcPr>
            <w:tcW w:w="1388" w:type="dxa"/>
            <w:vAlign w:val="center"/>
          </w:tcPr>
          <w:p>
            <w:pPr>
              <w:spacing w:line="300" w:lineRule="exact"/>
              <w:rPr>
                <w:rFonts w:hint="eastAsia" w:cs="宋体"/>
                <w:sz w:val="24"/>
                <w:szCs w:val="24"/>
              </w:rPr>
            </w:pPr>
            <w:r>
              <w:rPr>
                <w:rFonts w:hint="eastAsia" w:cs="宋体"/>
                <w:sz w:val="24"/>
                <w:szCs w:val="24"/>
              </w:rPr>
              <w:t>固定资产投资项目节能评估报告书（表）编制</w:t>
            </w:r>
          </w:p>
        </w:tc>
        <w:tc>
          <w:tcPr>
            <w:tcW w:w="1879" w:type="dxa"/>
            <w:vAlign w:val="center"/>
          </w:tcPr>
          <w:p>
            <w:pPr>
              <w:spacing w:line="300" w:lineRule="exact"/>
              <w:rPr>
                <w:rFonts w:hint="eastAsia" w:cs="宋体"/>
                <w:sz w:val="24"/>
                <w:szCs w:val="24"/>
              </w:rPr>
            </w:pPr>
            <w:r>
              <w:rPr>
                <w:rFonts w:hint="eastAsia" w:cs="宋体"/>
                <w:sz w:val="24"/>
                <w:szCs w:val="24"/>
              </w:rPr>
              <w:t>固定资产投资项目节能评估和审查</w:t>
            </w:r>
          </w:p>
        </w:tc>
        <w:tc>
          <w:tcPr>
            <w:tcW w:w="3036" w:type="dxa"/>
            <w:vAlign w:val="center"/>
          </w:tcPr>
          <w:p>
            <w:pPr>
              <w:spacing w:line="300" w:lineRule="exact"/>
              <w:rPr>
                <w:rFonts w:hint="eastAsia" w:cs="宋体"/>
                <w:sz w:val="24"/>
                <w:szCs w:val="24"/>
              </w:rPr>
            </w:pPr>
            <w:r>
              <w:rPr>
                <w:rFonts w:hint="eastAsia" w:cs="宋体"/>
                <w:sz w:val="24"/>
                <w:szCs w:val="24"/>
              </w:rPr>
              <w:t>《固定资产投资项目节能评估和审查暂行办法》（国家发展和改革委员会令第6号）第七条</w:t>
            </w:r>
          </w:p>
        </w:tc>
        <w:tc>
          <w:tcPr>
            <w:tcW w:w="2632" w:type="dxa"/>
            <w:vAlign w:val="center"/>
          </w:tcPr>
          <w:p>
            <w:pPr>
              <w:spacing w:line="300" w:lineRule="exact"/>
              <w:rPr>
                <w:rFonts w:hint="eastAsia" w:cs="宋体"/>
                <w:sz w:val="24"/>
                <w:szCs w:val="24"/>
              </w:rPr>
            </w:pPr>
            <w:r>
              <w:rPr>
                <w:rFonts w:hint="eastAsia" w:cs="宋体"/>
                <w:sz w:val="24"/>
                <w:szCs w:val="24"/>
              </w:rPr>
              <w:t>申请人可按照要求自行编制节能评估相关材料，也可委托有关机构编制。审批部门不得以任何形式要求申请人必须委托特定中介服务机构提供服务。保留审批部门现有的固定资产投资项目节能评估文件技术评估、评审。</w:t>
            </w:r>
          </w:p>
        </w:tc>
        <w:tc>
          <w:tcPr>
            <w:tcW w:w="1452" w:type="dxa"/>
            <w:vAlign w:val="center"/>
          </w:tcPr>
          <w:p>
            <w:pPr>
              <w:spacing w:line="300" w:lineRule="exact"/>
              <w:rPr>
                <w:rFonts w:hint="eastAsia" w:cs="宋体"/>
                <w:sz w:val="24"/>
                <w:szCs w:val="24"/>
              </w:rPr>
            </w:pPr>
            <w:r>
              <w:rPr>
                <w:rFonts w:hint="eastAsia" w:cs="宋体"/>
                <w:sz w:val="24"/>
                <w:szCs w:val="24"/>
              </w:rPr>
              <w:t>济政〔2016〕42号文件附件2第1项对应调整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2209C"/>
    <w:rsid w:val="6F222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2017-10-13T05:19:00Z</dcterms:created>
  <dc:creator>Administrator</dc:creator>
  <cp:lastModifiedBy>Administrator</cp:lastModifiedBy>
  <dcterms:modified xsi:type="dcterms:W3CDTF">2017-10-13T05:20:01Z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