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宋体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仿宋_GB2312"/>
          <w:color w:val="000000"/>
          <w:sz w:val="32"/>
          <w:szCs w:val="32"/>
        </w:rPr>
        <w:t>附</w:t>
      </w:r>
      <w:r>
        <w:rPr>
          <w:rFonts w:ascii="黑体" w:hAnsi="宋体" w:eastAsia="黑体" w:cs="仿宋_GB2312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 w:cs="仿宋_GB2312"/>
          <w:color w:val="000000"/>
          <w:sz w:val="32"/>
          <w:szCs w:val="32"/>
        </w:rPr>
        <w:t>件</w:t>
      </w:r>
    </w:p>
    <w:p>
      <w:pPr>
        <w:jc w:val="center"/>
        <w:rPr>
          <w:rFonts w:ascii="新宋体" w:hAnsi="新宋体" w:eastAsia="新宋体" w:cs="仿宋_GB2312"/>
          <w:b/>
          <w:color w:val="000000"/>
          <w:sz w:val="44"/>
          <w:szCs w:val="44"/>
        </w:rPr>
      </w:pPr>
      <w:r>
        <w:rPr>
          <w:rFonts w:hint="eastAsia" w:ascii="新宋体" w:hAnsi="新宋体" w:eastAsia="新宋体" w:cs="仿宋_GB2312"/>
          <w:b/>
          <w:color w:val="000000"/>
          <w:sz w:val="44"/>
          <w:szCs w:val="44"/>
        </w:rPr>
        <w:t>城市黑臭水体问题整治工作进展情况表</w:t>
      </w:r>
    </w:p>
    <w:tbl>
      <w:tblPr>
        <w:tblW w:w="14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5" w:type="dxa"/>
          <w:right w:w="45" w:type="dxa"/>
        </w:tblCellMar>
      </w:tblPr>
      <w:tblGrid>
        <w:gridCol w:w="791"/>
        <w:gridCol w:w="633"/>
        <w:gridCol w:w="2415"/>
        <w:gridCol w:w="2040"/>
        <w:gridCol w:w="2265"/>
        <w:gridCol w:w="1346"/>
        <w:gridCol w:w="1260"/>
        <w:gridCol w:w="2520"/>
        <w:gridCol w:w="1398"/>
      </w:tblGrid>
      <w:tr>
        <w:trPr>
          <w:trHeight w:val="681" w:hRule="atLeast"/>
          <w:tblHeader/>
          <w:jc w:val="center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河道</w:t>
            </w:r>
          </w:p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名称</w:t>
            </w: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存在问题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位置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整改措施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责任</w:t>
            </w:r>
          </w:p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整改</w:t>
            </w:r>
          </w:p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时间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进展情况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备注</w:t>
            </w:r>
          </w:p>
        </w:tc>
      </w:tr>
      <w:tr>
        <w:trPr>
          <w:trHeight w:val="672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苇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泉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河</w:t>
            </w: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缺上游补水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从大沟河补水，建立长效生态补水机制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水利局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按需适时补水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</w:tr>
      <w:tr>
        <w:trPr>
          <w:trHeight w:val="1064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有排污口，有污水排入河内；晚上有饭店在此处倒剩饭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东一环与苇泉河交叉口桥面西北角（升龙城处）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禁止污水入河、禁止倾倒餐厨垃圾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住建局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已排查</w:t>
            </w:r>
            <w:r>
              <w:rPr>
                <w:rFonts w:ascii="宋体" w:hAnsi="宋体" w:cs="仿宋_GB2312"/>
                <w:sz w:val="24"/>
              </w:rPr>
              <w:t>,</w:t>
            </w:r>
            <w:r>
              <w:rPr>
                <w:rFonts w:hint="eastAsia" w:ascii="宋体" w:hAnsi="宋体" w:cs="仿宋_GB2312"/>
                <w:sz w:val="24"/>
              </w:rPr>
              <w:t>并采取措施禁止饭店倾倒餐厨垃圾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已完成</w:t>
            </w:r>
          </w:p>
        </w:tc>
      </w:tr>
      <w:tr>
        <w:trPr>
          <w:trHeight w:val="523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淤泥、黑臭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明河段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淤泥清理；</w:t>
            </w:r>
          </w:p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补种水生植物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生态环境局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 w:val="24"/>
              </w:rPr>
              <w:t>因汛期原因，暂未补种水生植物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</w:tr>
      <w:tr>
        <w:trPr>
          <w:trHeight w:val="505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污水处理站达标排入苇泉河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第一行政区处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排查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生态环境局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已达标排放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已完成</w:t>
            </w:r>
          </w:p>
        </w:tc>
      </w:tr>
      <w:tr>
        <w:trPr>
          <w:trHeight w:val="50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污水处理是否达标，是否排入苇泉河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第二行政区处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排查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生态环境局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已接入市政管网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已完成</w:t>
            </w:r>
          </w:p>
        </w:tc>
      </w:tr>
      <w:tr>
        <w:trPr>
          <w:trHeight w:val="801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桥下有污水排入河</w:t>
            </w:r>
            <w:r>
              <w:rPr>
                <w:rFonts w:ascii="宋体" w:hAnsi="宋体" w:cs="仿宋_GB2312"/>
                <w:color w:val="000000"/>
                <w:sz w:val="24"/>
              </w:rPr>
              <w:t>(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疑似双语家属院排水</w:t>
            </w:r>
            <w:r>
              <w:rPr>
                <w:rFonts w:ascii="宋体" w:hAnsi="宋体" w:cs="仿宋_GB2312"/>
                <w:color w:val="000000"/>
                <w:sz w:val="24"/>
              </w:rPr>
              <w:t>)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文博路桥下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排查、截污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住建局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FF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封堵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已完成</w:t>
            </w: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村民阻挡无法施工，目前停工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学苑路（经一路）污水管网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 w:val="24"/>
              </w:rPr>
              <w:t>协调南孙村、东孙村，加快建设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轵城镇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 w:val="24"/>
              </w:rPr>
              <w:t>河岔村协调尚未完成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桑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榆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河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有一排污口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 w:val="24"/>
              </w:rPr>
              <w:t>天坛办事处工业园区</w:t>
            </w:r>
            <w:r>
              <w:rPr>
                <w:rFonts w:ascii="宋体" w:hAnsi="宋体" w:cs="仿宋_GB2312"/>
                <w:color w:val="000000"/>
                <w:spacing w:val="-10"/>
                <w:sz w:val="24"/>
              </w:rPr>
              <w:t>C</w:t>
            </w:r>
            <w:r>
              <w:rPr>
                <w:rFonts w:hint="eastAsia" w:ascii="宋体" w:hAnsi="宋体" w:cs="仿宋_GB2312"/>
                <w:color w:val="000000"/>
                <w:spacing w:val="-10"/>
                <w:sz w:val="24"/>
              </w:rPr>
              <w:t>区，桑榆河南侧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排查、截污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天坛街道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已顺接桑榆河污水管网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已完成</w:t>
            </w: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有一排污口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河西大队往西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排查、截污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天坛街道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已顺接桑榆河污水管网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已完成</w:t>
            </w: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蟒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河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有一排污口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西石露头村卫生所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拆除厕所或建污水管网排至市政管网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天坛街道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整改方案已确定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未完成</w:t>
            </w:r>
          </w:p>
        </w:tc>
      </w:tr>
      <w:tr>
        <w:trPr>
          <w:trHeight w:val="64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有一排污口</w:t>
            </w:r>
          </w:p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（看守所排水）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通灵桥下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建污水管网排入西一环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公安局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污水已接入市政管网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已完成</w:t>
            </w:r>
          </w:p>
        </w:tc>
      </w:tr>
      <w:tr>
        <w:trPr>
          <w:trHeight w:val="604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缺上游补水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通灵桥西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生态调水</w:t>
            </w:r>
            <w:r>
              <w:rPr>
                <w:rFonts w:ascii="宋体" w:hAnsi="宋体" w:cs="仿宋_GB2312"/>
                <w:color w:val="000000"/>
                <w:sz w:val="24"/>
              </w:rPr>
              <w:t>,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建立长效生态补水机制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水利局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按需适时补水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13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小股污水排入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亚桥桥桥头北边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排查、截污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玉泉街道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尚未查明污水来源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未完成</w:t>
            </w: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14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河岸挡墙冒污水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世纪酒店处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排查冒污水情况并处理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住建局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已排查并处理结束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已完成</w:t>
            </w: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15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东一环至东二环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推进河道治理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城投公司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正在进行玉川桥以东河道清淤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上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堰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河</w:t>
            </w: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16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污水排放入河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火车站货场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排查、截污，接入上堰河污水管网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北海街道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尚未接入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未完成</w:t>
            </w: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17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污水排放入河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国泰冶金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排查、截污，接入上堰河污水管网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北海街道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尚未接入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未完成</w:t>
            </w: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18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该段无污水管网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新雨润饮料；毛皮厂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交通局移交济阳路后，住建局负责管网建设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交通局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道路尚未移交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FF0000"/>
                <w:sz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19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污水排入河内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北一环（加油站、饭店）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封堵排污口或建污水管网穿过北一环进入北环北侧污水管网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北海街道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已封堵排污口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已完成</w:t>
            </w: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龙河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(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解放河）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20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桥下有污水排入河内；济渎路污水均排入河内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六角口至龙潭湖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加快污水管网建设进度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住建局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施工区域已围挡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pacing w:val="-10"/>
                <w:sz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21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缺少栏杆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汤帝路西侧小方池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增加栏杆，禁止周边群众洗衣等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北海街道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28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 w:val="24"/>
              </w:rPr>
              <w:t>已加装栏杆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 w:val="24"/>
              </w:rPr>
              <w:t>已完成</w:t>
            </w: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22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淤泥清理；排污口排查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六角口至珍珠泉小方池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住建局负责龙河（解放河）揭盖、清淤，办事处负责将生活污水接入管网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住建局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北海街道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部分已揭盖，正在清淤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pacing w:val="-10"/>
                <w:sz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珠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龙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河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23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缺上游补水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引沁渠调水，建立长效生态补水机制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水利局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按需适时补水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pacing w:val="-10"/>
                <w:sz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24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污水排入河内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南堰头、北堰头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需协调南堰头、北堰头，建设污水管网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玉泉街道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9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仿宋_GB2312"/>
                <w:color w:val="000000"/>
                <w:sz w:val="24"/>
              </w:rPr>
              <w:t>21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正在协调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pacing w:val="-10"/>
                <w:sz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25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污水排入河内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济河所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需协调济河所，建设污水管网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水利局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正在协调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pacing w:val="-10"/>
                <w:sz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湨</w:t>
            </w:r>
          </w:p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河</w:t>
            </w: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26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污水排入河内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西二环西北角污水入河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封堵、截污，接入西二环管网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思礼镇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已接入管网，但未封堵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pacing w:val="-10"/>
                <w:sz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27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污水直排口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济钢粉煤灰厂外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经查该处为清水入河，但无排水许可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生态环境局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 w:val="24"/>
              </w:rPr>
              <w:t>水利局与生态环境局正在进行工作交接，尚未获得排水许可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color w:val="000000"/>
                <w:spacing w:val="-10"/>
                <w:sz w:val="24"/>
              </w:rPr>
            </w:pPr>
          </w:p>
        </w:tc>
      </w:tr>
    </w:tbl>
    <w:p>
      <w:pPr>
        <w:rPr>
          <w:rFonts w:ascii="宋体"/>
        </w:rPr>
      </w:pPr>
    </w:p>
    <w:p>
      <w:pPr>
        <w:pStyle w:val="3"/>
        <w:spacing w:line="60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pStyle w:val="3"/>
        <w:spacing w:line="580" w:lineRule="exact"/>
        <w:rPr>
          <w:rFonts w:ascii="宋体" w:hAnsi="宋体" w:eastAsia="仿宋_GB2312" w:cs="仿宋_GB2312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531" w:right="1701" w:bottom="1531" w:left="1531" w:header="851" w:footer="992" w:gutter="0"/>
          <w:cols w:space="720" w:num="1"/>
          <w:docGrid w:type="linesAndChars" w:linePitch="323"/>
        </w:sectPr>
      </w:pPr>
    </w:p>
    <w:p>
      <w:pPr>
        <w:pStyle w:val="3"/>
        <w:spacing w:line="58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pStyle w:val="3"/>
        <w:spacing w:line="58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pStyle w:val="3"/>
        <w:spacing w:line="58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pStyle w:val="3"/>
        <w:spacing w:line="58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pStyle w:val="3"/>
        <w:spacing w:line="58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40" w:lineRule="exact"/>
        <w:ind w:firstLine="0" w:firstLineChars="0"/>
        <w:rPr>
          <w:rFonts w:ascii="宋体" w:hAnsi="宋体" w:eastAsia="仿宋_GB2312" w:cs="仿宋_GB2312"/>
          <w:bCs/>
          <w:color w:val="000000"/>
          <w:kern w:val="0"/>
          <w:sz w:val="32"/>
          <w:szCs w:val="32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tabs>
          <w:tab w:val="left" w:pos="1778"/>
        </w:tabs>
        <w:spacing w:line="300" w:lineRule="exact"/>
        <w:ind w:firstLine="0" w:firstLineChars="0"/>
        <w:rPr>
          <w:rFonts w:ascii="宋体"/>
          <w:sz w:val="10"/>
          <w:szCs w:val="10"/>
        </w:rPr>
      </w:pPr>
    </w:p>
    <w:p>
      <w:pPr>
        <w:pStyle w:val="2"/>
        <w:spacing w:line="100" w:lineRule="exact"/>
        <w:ind w:firstLine="0" w:firstLineChars="0"/>
        <w:rPr>
          <w:rFonts w:ascii="宋体"/>
          <w:sz w:val="30"/>
          <w:szCs w:val="30"/>
        </w:rPr>
      </w:pPr>
      <w:r>
        <w:rPr>
          <w:rFonts w:ascii="Calibri" w:hAnsi="Calibri" w:eastAsia="宋体" w:cs="Times New Roman"/>
          <w:kern w:val="2"/>
          <w:sz w:val="22"/>
          <w:szCs w:val="20"/>
          <w:lang w:val="en-US" w:eastAsia="zh-CN" w:bidi="ar-SA"/>
        </w:rPr>
        <w:pict>
          <v:line id="_x0000_s1028" o:spid="_x0000_s1027" style="position:absolute;left:0;margin-left:4.7pt;margin-top:7.1pt;height:0.05pt;width:434.2pt;rotation:0f;z-index:251658240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2"/>
        <w:spacing w:line="500" w:lineRule="exact"/>
        <w:ind w:firstLine="220"/>
      </w:pPr>
      <w:r>
        <w:rPr>
          <w:rFonts w:ascii="Calibri" w:hAnsi="Calibri" w:eastAsia="宋体" w:cs="Times New Roman"/>
          <w:kern w:val="2"/>
          <w:sz w:val="22"/>
          <w:szCs w:val="20"/>
          <w:lang w:val="en-US" w:eastAsia="zh-CN" w:bidi="ar-SA"/>
        </w:rPr>
        <w:pict>
          <v:line id="_x0000_s1029" o:spid="_x0000_s1028" style="position:absolute;left:0;margin-left:5.3pt;margin-top:29.7pt;height:0.05pt;width:434.2pt;rotation:0f;z-index:251659264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济源产城融合示范区督查局办公室</w:t>
      </w:r>
      <w:r>
        <w:rPr>
          <w:rFonts w:ascii="宋体" w:hAnsi="宋体" w:eastAsia="仿宋_GB2312"/>
          <w:sz w:val="30"/>
          <w:szCs w:val="30"/>
        </w:rPr>
        <w:t xml:space="preserve">  </w:t>
      </w:r>
      <w:r>
        <w:rPr>
          <w:rFonts w:ascii="宋体" w:hAnsi="宋体" w:eastAsia="仿宋_GB2312"/>
          <w:spacing w:val="-6"/>
          <w:sz w:val="30"/>
          <w:szCs w:val="30"/>
        </w:rPr>
        <w:t xml:space="preserve">      </w:t>
      </w:r>
      <w:r>
        <w:rPr>
          <w:rFonts w:ascii="宋体" w:hAnsi="宋体" w:eastAsia="仿宋_GB2312"/>
          <w:sz w:val="30"/>
          <w:szCs w:val="30"/>
        </w:rPr>
        <w:t xml:space="preserve"> 2020</w:t>
      </w:r>
      <w:r>
        <w:rPr>
          <w:rFonts w:hint="eastAsia" w:ascii="宋体" w:hAnsi="宋体" w:eastAsia="仿宋_GB2312"/>
          <w:sz w:val="30"/>
          <w:szCs w:val="30"/>
        </w:rPr>
        <w:t>年</w:t>
      </w:r>
      <w:r>
        <w:rPr>
          <w:rFonts w:ascii="宋体" w:hAnsi="宋体" w:eastAsia="仿宋_GB2312"/>
          <w:sz w:val="30"/>
          <w:szCs w:val="30"/>
        </w:rPr>
        <w:t>8</w:t>
      </w:r>
      <w:r>
        <w:rPr>
          <w:rFonts w:hint="eastAsia" w:ascii="宋体" w:hAnsi="宋体" w:eastAsia="仿宋_GB2312"/>
          <w:sz w:val="30"/>
          <w:szCs w:val="30"/>
        </w:rPr>
        <w:t>月</w:t>
      </w:r>
      <w:r>
        <w:rPr>
          <w:rFonts w:ascii="宋体" w:hAnsi="宋体" w:eastAsia="仿宋_GB2312"/>
          <w:sz w:val="30"/>
          <w:szCs w:val="30"/>
        </w:rPr>
        <w:t>10</w:t>
      </w:r>
      <w:r>
        <w:rPr>
          <w:rFonts w:hint="eastAsia" w:ascii="宋体" w:hAnsi="宋体" w:eastAsia="仿宋_GB2312"/>
          <w:sz w:val="30"/>
          <w:szCs w:val="30"/>
        </w:rPr>
        <w:t>日印</w:t>
      </w:r>
    </w:p>
    <w:sectPr>
      <w:pgSz w:w="11906" w:h="16838"/>
      <w:pgMar w:top="1701" w:right="1531" w:bottom="1531" w:left="1531" w:header="851" w:footer="992" w:gutter="0"/>
      <w:cols w:space="720" w:num="1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napToGrid w:val="0"/>
      <w:jc w:val="center"/>
      <w:rPr>
        <w:sz w:val="18"/>
      </w:rPr>
    </w:pPr>
    <w:r>
      <w:rPr>
        <w:rFonts w:ascii="Calibri" w:hAnsi="Calibri" w:eastAsia="宋体" w:cs="Times New Roman"/>
        <w:kern w:val="2"/>
        <w:sz w:val="21"/>
        <w:szCs w:val="20"/>
        <w:lang w:val="en-US" w:eastAsia="zh-CN" w:bidi="ar-SA"/>
      </w:rPr>
      <w:pict>
        <v:shape id="_x0000_s2050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  <w:tabs>
        <w:tab w:val="center" w:pos="4536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paragraph" w:styleId="2">
    <w:name w:val="Body Text First Indent"/>
    <w:basedOn w:val="3"/>
    <w:link w:val="10"/>
    <w:uiPriority w:val="99"/>
    <w:pPr>
      <w:ind w:firstLine="420" w:firstLineChars="100"/>
      <w:jc w:val="left"/>
    </w:pPr>
    <w:rPr>
      <w:szCs w:val="20"/>
    </w:rPr>
  </w:style>
  <w:style w:type="paragraph" w:styleId="3">
    <w:name w:val="Body Text"/>
    <w:basedOn w:val="1"/>
    <w:link w:val="9"/>
    <w:uiPriority w:val="99"/>
    <w:rPr>
      <w:sz w:val="22"/>
      <w:szCs w:val="22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link w:val="13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Body Text Char Char"/>
    <w:basedOn w:val="8"/>
    <w:link w:val="3"/>
    <w:uiPriority w:val="99"/>
    <w:rPr>
      <w:rFonts w:ascii="Calibri" w:hAnsi="Calibri"/>
      <w:szCs w:val="20"/>
    </w:rPr>
  </w:style>
  <w:style w:type="character" w:customStyle="1" w:styleId="10">
    <w:name w:val="Body Text First Indent Char Char"/>
    <w:basedOn w:val="9"/>
    <w:link w:val="2"/>
    <w:uiPriority w:val="99"/>
    <w:rPr/>
  </w:style>
  <w:style w:type="character" w:customStyle="1" w:styleId="11">
    <w:name w:val="Footer Char"/>
    <w:basedOn w:val="8"/>
    <w:link w:val="4"/>
    <w:uiPriority w:val="99"/>
    <w:rPr>
      <w:rFonts w:ascii="Calibri" w:hAnsi="Calibri"/>
      <w:sz w:val="18"/>
      <w:szCs w:val="18"/>
    </w:rPr>
  </w:style>
  <w:style w:type="character" w:customStyle="1" w:styleId="12">
    <w:name w:val="Header Char"/>
    <w:basedOn w:val="8"/>
    <w:link w:val="5"/>
    <w:uiPriority w:val="99"/>
    <w:rPr>
      <w:rFonts w:ascii="Calibri" w:hAnsi="Calibri"/>
      <w:sz w:val="18"/>
      <w:szCs w:val="18"/>
    </w:rPr>
  </w:style>
  <w:style w:type="character" w:customStyle="1" w:styleId="13">
    <w:name w:val="HTML Preformatted Char Char"/>
    <w:basedOn w:val="8"/>
    <w:link w:val="6"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332</Words>
  <Characters>1895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2020-07-10T07:40:00Z</dcterms:created>
  <dc:creator>Administrator</dc:creator>
  <cp:lastModifiedBy>Administrator</cp:lastModifiedBy>
  <cp:lastPrinted>2020-08-10T07:51:00Z</cp:lastPrinted>
  <dcterms:modified xsi:type="dcterms:W3CDTF">2020-08-11T08:34:40Z</dcterms:modified>
  <dc:title>                                        第   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