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443" w:tblpY="337"/>
        <w:tblOverlap w:val="never"/>
        <w:tblW w:w="13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4860"/>
        <w:gridCol w:w="1540"/>
        <w:gridCol w:w="5715"/>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blHeader/>
        </w:trPr>
        <w:tc>
          <w:tcPr>
            <w:tcW w:w="837" w:type="dxa"/>
            <w:vAlign w:val="center"/>
          </w:tcPr>
          <w:p>
            <w:pPr>
              <w:jc w:val="center"/>
              <w:rPr>
                <w:sz w:val="20"/>
                <w:szCs w:val="22"/>
                <w:vertAlign w:val="baseline"/>
              </w:rPr>
            </w:pPr>
            <w:r>
              <w:rPr>
                <w:rFonts w:hint="eastAsia" w:ascii="黑体" w:hAnsi="黑体" w:eastAsia="黑体" w:cs="黑体"/>
                <w:b/>
                <w:bCs/>
                <w:sz w:val="28"/>
                <w:szCs w:val="28"/>
                <w:vertAlign w:val="baseline"/>
                <w:lang w:val="en-US" w:eastAsia="zh-CN"/>
              </w:rPr>
              <w:t>序号</w:t>
            </w:r>
          </w:p>
        </w:tc>
        <w:tc>
          <w:tcPr>
            <w:tcW w:w="4860" w:type="dxa"/>
            <w:vAlign w:val="center"/>
          </w:tcPr>
          <w:p>
            <w:pPr>
              <w:jc w:val="center"/>
              <w:rPr>
                <w:sz w:val="20"/>
                <w:szCs w:val="22"/>
                <w:vertAlign w:val="baseline"/>
              </w:rPr>
            </w:pPr>
            <w:r>
              <w:rPr>
                <w:rFonts w:hint="eastAsia" w:ascii="黑体" w:hAnsi="黑体" w:eastAsia="黑体" w:cs="黑体"/>
                <w:b/>
                <w:bCs/>
                <w:sz w:val="28"/>
                <w:szCs w:val="28"/>
                <w:vertAlign w:val="baseline"/>
                <w:lang w:val="en-US" w:eastAsia="zh-CN"/>
              </w:rPr>
              <w:t>工作任务</w:t>
            </w:r>
          </w:p>
        </w:tc>
        <w:tc>
          <w:tcPr>
            <w:tcW w:w="1540" w:type="dxa"/>
            <w:vAlign w:val="center"/>
          </w:tcPr>
          <w:p>
            <w:pPr>
              <w:jc w:val="center"/>
              <w:rPr>
                <w:sz w:val="20"/>
                <w:szCs w:val="22"/>
                <w:vertAlign w:val="baseline"/>
              </w:rPr>
            </w:pPr>
            <w:r>
              <w:rPr>
                <w:rFonts w:hint="eastAsia" w:ascii="黑体" w:hAnsi="黑体" w:eastAsia="黑体" w:cs="黑体"/>
                <w:b/>
                <w:bCs/>
                <w:sz w:val="28"/>
                <w:szCs w:val="28"/>
                <w:vertAlign w:val="baseline"/>
                <w:lang w:val="en-US" w:eastAsia="zh-CN"/>
              </w:rPr>
              <w:t>责任单位</w:t>
            </w:r>
          </w:p>
        </w:tc>
        <w:tc>
          <w:tcPr>
            <w:tcW w:w="5715" w:type="dxa"/>
            <w:vAlign w:val="center"/>
          </w:tcPr>
          <w:p>
            <w:pPr>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完成情况</w:t>
            </w:r>
          </w:p>
        </w:tc>
        <w:tc>
          <w:tcPr>
            <w:tcW w:w="968" w:type="dxa"/>
            <w:vAlign w:val="center"/>
          </w:tcPr>
          <w:p>
            <w:pPr>
              <w:jc w:val="cente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837" w:type="dxa"/>
            <w:vAlign w:val="center"/>
          </w:tcPr>
          <w:p>
            <w:pPr>
              <w:jc w:val="center"/>
              <w:rPr>
                <w:rFonts w:hint="eastAsia" w:ascii="黑体" w:hAnsi="黑体" w:eastAsia="黑体" w:cs="黑体"/>
                <w:color w:val="auto"/>
                <w:sz w:val="28"/>
                <w:szCs w:val="28"/>
                <w:lang w:val="en-US" w:eastAsia="zh-CN"/>
              </w:rPr>
            </w:pPr>
          </w:p>
        </w:tc>
        <w:tc>
          <w:tcPr>
            <w:tcW w:w="4860" w:type="dxa"/>
            <w:vAlign w:val="center"/>
          </w:tcPr>
          <w:p>
            <w:pPr>
              <w:jc w:val="both"/>
              <w:rPr>
                <w:rFonts w:hint="eastAsia" w:ascii="黑体" w:hAnsi="黑体" w:eastAsia="黑体" w:cs="黑体"/>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2018</w:t>
            </w:r>
            <w:r>
              <w:rPr>
                <w:rFonts w:hint="eastAsia" w:ascii="黑体" w:hAnsi="黑体" w:eastAsia="黑体" w:cs="黑体"/>
                <w:color w:val="auto"/>
                <w:sz w:val="28"/>
                <w:szCs w:val="28"/>
                <w:lang w:val="en-US" w:eastAsia="zh-CN"/>
              </w:rPr>
              <w:t>年经济社会发展重点任务</w:t>
            </w:r>
          </w:p>
        </w:tc>
        <w:tc>
          <w:tcPr>
            <w:tcW w:w="1540" w:type="dxa"/>
          </w:tcPr>
          <w:p>
            <w:pPr>
              <w:rPr>
                <w:vertAlign w:val="baseline"/>
              </w:rPr>
            </w:pPr>
          </w:p>
        </w:tc>
        <w:tc>
          <w:tcPr>
            <w:tcW w:w="5715" w:type="dxa"/>
          </w:tcPr>
          <w:p>
            <w:pPr>
              <w:rPr>
                <w:vertAlign w:val="baseline"/>
              </w:rPr>
            </w:pP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837" w:type="dxa"/>
            <w:vAlign w:val="center"/>
          </w:tcPr>
          <w:p>
            <w:pPr>
              <w:jc w:val="center"/>
              <w:rPr>
                <w:rFonts w:hint="eastAsia" w:asciiTheme="majorEastAsia" w:hAnsiTheme="majorEastAsia" w:eastAsiaTheme="majorEastAsia" w:cstheme="majorEastAsia"/>
                <w:b w:val="0"/>
                <w:bCs w:val="0"/>
                <w:sz w:val="24"/>
                <w:szCs w:val="24"/>
                <w:vertAlign w:val="baseline"/>
                <w:lang w:val="en-US" w:eastAsia="zh-CN"/>
              </w:rPr>
            </w:pPr>
            <w:r>
              <w:rPr>
                <w:rFonts w:hint="eastAsia" w:ascii="楷体_GB2312" w:hAnsi="楷体_GB2312" w:eastAsia="楷体_GB2312" w:cs="楷体_GB2312"/>
                <w:b/>
                <w:bCs/>
                <w:snapToGrid w:val="0"/>
                <w:color w:val="000000"/>
                <w:kern w:val="32"/>
                <w:sz w:val="24"/>
                <w:szCs w:val="24"/>
                <w:lang w:val="en-US" w:eastAsia="zh-CN"/>
              </w:rPr>
              <w:t>（一）</w:t>
            </w:r>
          </w:p>
        </w:tc>
        <w:tc>
          <w:tcPr>
            <w:tcW w:w="4860" w:type="dxa"/>
            <w:vAlign w:val="center"/>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default" w:ascii="楷体_GB2312" w:hAnsi="楷体_GB2312" w:eastAsia="楷体_GB2312" w:cs="楷体_GB2312"/>
                <w:b/>
                <w:bCs/>
                <w:snapToGrid w:val="0"/>
                <w:color w:val="000000"/>
                <w:kern w:val="32"/>
                <w:sz w:val="24"/>
                <w:szCs w:val="24"/>
                <w:lang w:val="en-US" w:eastAsia="zh-CN"/>
              </w:rPr>
              <w:t>全面打好三大攻坚战，奠定全面建成小康社会坚实基础</w:t>
            </w:r>
          </w:p>
        </w:tc>
        <w:tc>
          <w:tcPr>
            <w:tcW w:w="1540"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p>
        </w:tc>
        <w:tc>
          <w:tcPr>
            <w:tcW w:w="5715" w:type="dxa"/>
          </w:tcPr>
          <w:p>
            <w:pPr>
              <w:rPr>
                <w:vertAlign w:val="baseline"/>
              </w:rPr>
            </w:pP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837" w:type="dxa"/>
            <w:vAlign w:val="center"/>
          </w:tcPr>
          <w:p>
            <w:pPr>
              <w:jc w:val="center"/>
              <w:rPr>
                <w:vertAlign w:val="baseline"/>
              </w:rPr>
            </w:pPr>
            <w:r>
              <w:rPr>
                <w:rFonts w:hint="eastAsia" w:asciiTheme="majorEastAsia" w:hAnsiTheme="majorEastAsia" w:eastAsiaTheme="majorEastAsia" w:cstheme="majorEastAsia"/>
                <w:b w:val="0"/>
                <w:bCs w:val="0"/>
                <w:sz w:val="24"/>
                <w:szCs w:val="24"/>
                <w:vertAlign w:val="baseline"/>
                <w:lang w:val="en-US" w:eastAsia="zh-CN"/>
              </w:rPr>
              <w:t>1</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eastAsia" w:asciiTheme="majorEastAsia" w:hAnsiTheme="majorEastAsia" w:eastAsiaTheme="majorEastAsia" w:cstheme="majorEastAsia"/>
                <w:snapToGrid w:val="0"/>
                <w:color w:val="000000"/>
                <w:kern w:val="32"/>
                <w:sz w:val="24"/>
                <w:szCs w:val="24"/>
                <w:lang w:val="en-US" w:eastAsia="zh-CN"/>
              </w:rPr>
              <w:t>防控政府债务风险。</w:t>
            </w:r>
            <w:r>
              <w:rPr>
                <w:rFonts w:hint="eastAsia" w:asciiTheme="majorEastAsia" w:hAnsiTheme="majorEastAsia" w:eastAsiaTheme="majorEastAsia" w:cstheme="majorEastAsia"/>
                <w:color w:val="auto"/>
                <w:sz w:val="24"/>
                <w:szCs w:val="24"/>
                <w:lang w:val="en-US" w:eastAsia="zh-CN"/>
              </w:rPr>
              <w:t>进一步</w:t>
            </w:r>
            <w:r>
              <w:rPr>
                <w:rFonts w:hint="eastAsia" w:asciiTheme="majorEastAsia" w:hAnsiTheme="majorEastAsia" w:eastAsiaTheme="majorEastAsia" w:cstheme="majorEastAsia"/>
                <w:snapToGrid w:val="0"/>
                <w:color w:val="000000"/>
                <w:kern w:val="32"/>
                <w:sz w:val="24"/>
                <w:szCs w:val="24"/>
              </w:rPr>
              <w:t>规范政府举债行为，</w:t>
            </w:r>
            <w:r>
              <w:rPr>
                <w:rFonts w:hint="eastAsia" w:asciiTheme="majorEastAsia" w:hAnsiTheme="majorEastAsia" w:eastAsiaTheme="majorEastAsia" w:cstheme="majorEastAsia"/>
                <w:snapToGrid w:val="0"/>
                <w:color w:val="000000"/>
                <w:kern w:val="32"/>
                <w:sz w:val="24"/>
                <w:szCs w:val="24"/>
                <w:lang w:val="en-US" w:eastAsia="zh-CN"/>
              </w:rPr>
              <w:t>强化政府投资项目管理，加强对融资平台公司债务及PPP项目、政府投资基金、政府购买服务等监测预警，</w:t>
            </w:r>
            <w:r>
              <w:rPr>
                <w:rFonts w:hint="eastAsia" w:asciiTheme="majorEastAsia" w:hAnsiTheme="majorEastAsia" w:eastAsiaTheme="majorEastAsia" w:cstheme="majorEastAsia"/>
                <w:snapToGrid w:val="0"/>
                <w:color w:val="000000"/>
                <w:kern w:val="32"/>
                <w:sz w:val="24"/>
                <w:szCs w:val="24"/>
              </w:rPr>
              <w:t>支持市投资集团做大做强</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财政局</w:t>
            </w: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配合省审计组完成我市隐性政府债务摸底和一季度融资平台公司等债务及政府中长期支出事项统计。近期正在向市委、市政府汇报全省防范化解政府隐性债务风险工作会议精神，并建议尽快召开全市防范化解政府隐性债务风险会议，严防隐性债务风险。</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837" w:type="dxa"/>
            <w:vAlign w:val="center"/>
          </w:tcPr>
          <w:p>
            <w:pPr>
              <w:jc w:val="center"/>
              <w:rPr>
                <w:vertAlign w:val="baseline"/>
              </w:rPr>
            </w:pPr>
            <w:r>
              <w:rPr>
                <w:rFonts w:hint="eastAsia" w:asciiTheme="majorEastAsia" w:hAnsiTheme="majorEastAsia" w:eastAsiaTheme="majorEastAsia" w:cstheme="majorEastAsia"/>
                <w:b w:val="0"/>
                <w:bCs w:val="0"/>
                <w:sz w:val="24"/>
                <w:szCs w:val="24"/>
                <w:vertAlign w:val="baseline"/>
                <w:lang w:val="en-US" w:eastAsia="zh-CN"/>
              </w:rPr>
              <w:t>2</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防控化解企业债务风险。对企业风险进行全面排查，通过中小微企业互助资金、助保贷增信等有效措施，妥善有效化解企业互保风险</w:t>
            </w:r>
            <w:r>
              <w:rPr>
                <w:rFonts w:hint="eastAsia" w:asciiTheme="majorEastAsia" w:hAnsiTheme="majorEastAsia" w:eastAsiaTheme="majorEastAsia" w:cstheme="majorEastAsia"/>
                <w:snapToGrid w:val="0"/>
                <w:color w:val="000000"/>
                <w:kern w:val="32"/>
                <w:sz w:val="24"/>
                <w:szCs w:val="24"/>
                <w:lang w:val="en-US" w:eastAsia="zh-CN"/>
              </w:rPr>
              <w:t>，</w:t>
            </w:r>
            <w:r>
              <w:rPr>
                <w:rFonts w:hint="default" w:asciiTheme="majorEastAsia" w:hAnsiTheme="majorEastAsia" w:eastAsiaTheme="majorEastAsia" w:cstheme="majorEastAsia"/>
                <w:snapToGrid w:val="0"/>
                <w:color w:val="000000"/>
                <w:kern w:val="32"/>
                <w:sz w:val="24"/>
                <w:szCs w:val="24"/>
                <w:lang w:val="en-US" w:eastAsia="zh-CN"/>
              </w:rPr>
              <w:t>降低企业融资成本；引导企业强化风险意识，加强财务管控，优化债务结构</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工信委</w:t>
            </w: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2018年1-5月份，共办理业务40笔，金额21020万元。自2014年9月份成立济源市中小微企业助保金贷款管理委员会以来，累计为54家企业办理贷款，在贷余额20527万元，其中市农商行45户，金额17716万元，建行9户，2811万元。贷款企业遍布我市11个镇办。</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3</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稳妥化解金融风险。依法严厉打击各类违法违规金融活动，重点做好打击非法集资和逃废银行债务等行为，加强信用体系建设，继续做好投资类企业风险监管工作，进一步净化金融生态环境</w:t>
            </w:r>
          </w:p>
        </w:tc>
        <w:tc>
          <w:tcPr>
            <w:tcW w:w="1540"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金融办</w:t>
            </w:r>
          </w:p>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发改委</w:t>
            </w: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1.开展了防范打击和处置非法集资宣传月活动、广场宣传活动。建立我市非法集资案件台账，完善已立案件资产处置情况，完成非法集资案件统计分析表，积极开展资产处置工作。目前我市金融风险属可控范围。</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2.市公共信用信息平台归集信息646万条；信用信息已在行政管理事项、评先选优、村级换届选举中应用，政府机构失信治理持续开展，联合奖惩逐步推进；发布两期诚信建设“红黑榜”，共发布“红榜” 69个，“黑榜”241个，包含企业93家，自然人217个；其中：“红榜”企业68家，自然人1个；“黑榜”企业25家，自然人216个。             </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3.对辖区内32家投资类企业进行了风险排查，并将排查结果报省发改委。    </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4</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有效防范社会风险。切实做好安全生产、食品药品安全、消防安全等工作，加强社会治理创新，</w:t>
            </w:r>
            <w:r>
              <w:rPr>
                <w:rFonts w:hint="eastAsia" w:asciiTheme="majorEastAsia" w:hAnsiTheme="majorEastAsia" w:eastAsiaTheme="majorEastAsia" w:cstheme="majorEastAsia"/>
                <w:snapToGrid w:val="0"/>
                <w:color w:val="000000"/>
                <w:kern w:val="32"/>
                <w:sz w:val="24"/>
                <w:szCs w:val="24"/>
                <w:lang w:val="en-US" w:eastAsia="zh-CN"/>
              </w:rPr>
              <w:t>完善党社会治理机制和基层社会治理格局，</w:t>
            </w:r>
            <w:r>
              <w:rPr>
                <w:rFonts w:hint="default" w:asciiTheme="majorEastAsia" w:hAnsiTheme="majorEastAsia" w:eastAsiaTheme="majorEastAsia" w:cstheme="majorEastAsia"/>
                <w:snapToGrid w:val="0"/>
                <w:color w:val="000000"/>
                <w:kern w:val="32"/>
                <w:sz w:val="24"/>
                <w:szCs w:val="24"/>
                <w:lang w:val="en-US" w:eastAsia="zh-CN"/>
              </w:rPr>
              <w:t>持续推进社会公平正义，防范社会风险，保持社会大局和谐稳定</w:t>
            </w:r>
          </w:p>
        </w:tc>
        <w:tc>
          <w:tcPr>
            <w:tcW w:w="1540"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综治办</w:t>
            </w: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深入开展矛盾纠纷化解，今年以来共排查受理社会矛盾纠纷11167起，调处化解10441起，调处化解率93.5%。稳步有序推进以“雪亮工程”为龙头的公共安全视频监控建设联网应用工作，截止目前，累计投资1.5亿元，建设高清视频监控3512路、视频监控平台20个，并全部实现省、市、镇办三级联网，有效防范了社会风险。</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5</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打好精准脱贫攻坚战。全面落实脱贫攻坚责任和精准扶贫精准脱贫政策，按照四个“到户到人”要求，制定精准帮扶方案，强化产业、行业、企业、就业“四业一体”，扎实推进扶贫项目</w:t>
            </w:r>
            <w:r>
              <w:rPr>
                <w:rFonts w:hint="eastAsia" w:asciiTheme="majorEastAsia" w:hAnsiTheme="majorEastAsia" w:eastAsiaTheme="majorEastAsia" w:cstheme="majorEastAsia"/>
                <w:snapToGrid w:val="0"/>
                <w:color w:val="000000"/>
                <w:kern w:val="32"/>
                <w:sz w:val="24"/>
                <w:szCs w:val="24"/>
                <w:lang w:val="en-US" w:eastAsia="zh-CN"/>
              </w:rPr>
              <w:t>建设，</w:t>
            </w:r>
            <w:r>
              <w:rPr>
                <w:rFonts w:hint="default" w:asciiTheme="majorEastAsia" w:hAnsiTheme="majorEastAsia" w:eastAsiaTheme="majorEastAsia" w:cstheme="majorEastAsia"/>
                <w:snapToGrid w:val="0"/>
                <w:color w:val="000000"/>
                <w:kern w:val="32"/>
                <w:sz w:val="24"/>
                <w:szCs w:val="24"/>
                <w:lang w:val="en-US" w:eastAsia="zh-CN"/>
              </w:rPr>
              <w:t>实行最严格的督查考核评估制度，确保脱贫取得成效</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扶贫办</w:t>
            </w: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截止目前，已完成指导各镇对每个贫困户制定出相应的脱贫措施；稳妥推进扶贫开发项目建设；在全市企业开展“双联双助双促”活动，促进贫困村村集体经济发展壮大，贫困户有特色主导产业，有稳定收入来源；高效开展社会扶贫工作，统筹社会力量，聚力脱贫攻坚；出台《济源市2018年脱贫攻坚督查巡查工作方案（试行）》、《济源市脱贫攻坚领导小组关于调整充实脱贫攻坚工作组和专项推进组的通知》，对督查巡查工作进行了明确，进一步完善了督导检查机制；目前，正在制订关于月督查排名奖惩的方案。</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6</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深入推进大气污染防治。持续抓好扬尘、工业源、移动源、燃煤散烧、“小散乱污”企业整治，推行区域大气污染联合防治，确保全市空气质量总体改善，PM10年均浓度达到10</w:t>
            </w:r>
            <w:r>
              <w:rPr>
                <w:rFonts w:hint="eastAsia" w:asciiTheme="majorEastAsia" w:hAnsiTheme="majorEastAsia" w:eastAsiaTheme="majorEastAsia" w:cstheme="majorEastAsia"/>
                <w:snapToGrid w:val="0"/>
                <w:color w:val="000000"/>
                <w:kern w:val="32"/>
                <w:sz w:val="24"/>
                <w:szCs w:val="24"/>
                <w:lang w:val="en-US" w:eastAsia="zh-CN"/>
              </w:rPr>
              <w:t>4</w:t>
            </w:r>
            <w:r>
              <w:rPr>
                <w:rFonts w:hint="default" w:asciiTheme="majorEastAsia" w:hAnsiTheme="majorEastAsia" w:eastAsiaTheme="majorEastAsia" w:cstheme="majorEastAsia"/>
                <w:snapToGrid w:val="0"/>
                <w:color w:val="000000"/>
                <w:kern w:val="32"/>
                <w:sz w:val="24"/>
                <w:szCs w:val="24"/>
                <w:lang w:val="en-US" w:eastAsia="zh-CN"/>
              </w:rPr>
              <w:t>微克/立方米</w:t>
            </w:r>
            <w:r>
              <w:rPr>
                <w:rFonts w:hint="eastAsia" w:asciiTheme="majorEastAsia" w:hAnsiTheme="majorEastAsia" w:eastAsiaTheme="majorEastAsia" w:cstheme="majorEastAsia"/>
                <w:snapToGrid w:val="0"/>
                <w:color w:val="000000"/>
                <w:kern w:val="32"/>
                <w:sz w:val="24"/>
                <w:szCs w:val="24"/>
                <w:lang w:val="en-US" w:eastAsia="zh-CN"/>
              </w:rPr>
              <w:t>，</w:t>
            </w:r>
            <w:r>
              <w:rPr>
                <w:rFonts w:hint="default" w:asciiTheme="majorEastAsia" w:hAnsiTheme="majorEastAsia" w:eastAsiaTheme="majorEastAsia" w:cstheme="majorEastAsia"/>
                <w:snapToGrid w:val="0"/>
                <w:color w:val="000000"/>
                <w:kern w:val="32"/>
                <w:sz w:val="24"/>
                <w:szCs w:val="24"/>
                <w:lang w:val="en-US" w:eastAsia="zh-CN"/>
              </w:rPr>
              <w:t>PM2.5年均浓度达到6</w:t>
            </w:r>
            <w:r>
              <w:rPr>
                <w:rFonts w:hint="eastAsia" w:asciiTheme="majorEastAsia" w:hAnsiTheme="majorEastAsia" w:eastAsiaTheme="majorEastAsia" w:cstheme="majorEastAsia"/>
                <w:snapToGrid w:val="0"/>
                <w:color w:val="000000"/>
                <w:kern w:val="32"/>
                <w:sz w:val="24"/>
                <w:szCs w:val="24"/>
                <w:lang w:val="en-US" w:eastAsia="zh-CN"/>
              </w:rPr>
              <w:t>2</w:t>
            </w:r>
            <w:r>
              <w:rPr>
                <w:rFonts w:hint="default" w:asciiTheme="majorEastAsia" w:hAnsiTheme="majorEastAsia" w:eastAsiaTheme="majorEastAsia" w:cstheme="majorEastAsia"/>
                <w:snapToGrid w:val="0"/>
                <w:color w:val="000000"/>
                <w:kern w:val="32"/>
                <w:sz w:val="24"/>
                <w:szCs w:val="24"/>
                <w:lang w:val="en-US" w:eastAsia="zh-CN"/>
              </w:rPr>
              <w:t>微克/立方米，优良天数达到 21</w:t>
            </w:r>
            <w:r>
              <w:rPr>
                <w:rFonts w:hint="eastAsia" w:asciiTheme="majorEastAsia" w:hAnsiTheme="majorEastAsia" w:eastAsiaTheme="majorEastAsia" w:cstheme="majorEastAsia"/>
                <w:snapToGrid w:val="0"/>
                <w:color w:val="000000"/>
                <w:kern w:val="32"/>
                <w:sz w:val="24"/>
                <w:szCs w:val="24"/>
                <w:lang w:val="en-US" w:eastAsia="zh-CN"/>
              </w:rPr>
              <w:t>0</w:t>
            </w:r>
            <w:r>
              <w:rPr>
                <w:rFonts w:hint="default" w:asciiTheme="majorEastAsia" w:hAnsiTheme="majorEastAsia" w:eastAsiaTheme="majorEastAsia" w:cstheme="majorEastAsia"/>
                <w:snapToGrid w:val="0"/>
                <w:color w:val="000000"/>
                <w:kern w:val="32"/>
                <w:sz w:val="24"/>
                <w:szCs w:val="24"/>
                <w:lang w:val="en-US" w:eastAsia="zh-CN"/>
              </w:rPr>
              <w:t>天以上</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环保局</w:t>
            </w:r>
          </w:p>
        </w:tc>
        <w:tc>
          <w:tcPr>
            <w:tcW w:w="5715" w:type="dxa"/>
            <w:vAlign w:val="center"/>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截至6月30日，我市优良天数84天，PM10年均浓度123微克/立方米，PM2.5年均浓度74微克/立方米。</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7</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持续推进水污染防治。深入实施“碧水”工程，全面落实“河长制”</w:t>
            </w:r>
            <w:r>
              <w:rPr>
                <w:rFonts w:hint="eastAsia" w:asciiTheme="majorEastAsia" w:hAnsiTheme="majorEastAsia" w:eastAsiaTheme="majorEastAsia" w:cstheme="majorEastAsia"/>
                <w:snapToGrid w:val="0"/>
                <w:color w:val="000000"/>
                <w:kern w:val="32"/>
                <w:sz w:val="24"/>
                <w:szCs w:val="24"/>
                <w:lang w:val="en-US" w:eastAsia="zh-CN"/>
              </w:rPr>
              <w:t>、</w:t>
            </w:r>
            <w:r>
              <w:rPr>
                <w:rFonts w:hint="default" w:asciiTheme="majorEastAsia" w:hAnsiTheme="majorEastAsia" w:eastAsiaTheme="majorEastAsia" w:cstheme="majorEastAsia"/>
                <w:snapToGrid w:val="0"/>
                <w:color w:val="000000"/>
                <w:kern w:val="32"/>
                <w:sz w:val="24"/>
                <w:szCs w:val="24"/>
                <w:lang w:val="en-US" w:eastAsia="zh-CN"/>
              </w:rPr>
              <w:t>“水十条”，系统推进水污染防治、水生态保护和水资源管理，确保蟒河、沁河、济河、黄河、小浪底南山五个目标断面水质达到考核指标要求，城市集中式饮用水源地水质达标率100%</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环保局</w:t>
            </w:r>
          </w:p>
        </w:tc>
        <w:tc>
          <w:tcPr>
            <w:tcW w:w="5715" w:type="dxa"/>
            <w:vAlign w:val="center"/>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上半年，蟒河、沁河、济河、黄河、小浪底水库南山五个水质责任目标断面平均达标率86.7%，其中4个断面水质达到目标要求，1个有明显改善；城市集中式饮用水水源地水质达标率100%。</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8</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全面开展土壤污染防治。深入实施净土行动，持续</w:t>
            </w:r>
            <w:r>
              <w:rPr>
                <w:rFonts w:hint="eastAsia" w:asciiTheme="majorEastAsia" w:hAnsiTheme="majorEastAsia" w:eastAsiaTheme="majorEastAsia" w:cstheme="majorEastAsia"/>
                <w:snapToGrid w:val="0"/>
                <w:color w:val="000000"/>
                <w:kern w:val="32"/>
                <w:sz w:val="24"/>
                <w:szCs w:val="24"/>
                <w:lang w:val="en-US" w:eastAsia="zh-CN"/>
              </w:rPr>
              <w:t>推进</w:t>
            </w:r>
            <w:r>
              <w:rPr>
                <w:rFonts w:hint="default" w:asciiTheme="majorEastAsia" w:hAnsiTheme="majorEastAsia" w:eastAsiaTheme="majorEastAsia" w:cstheme="majorEastAsia"/>
                <w:snapToGrid w:val="0"/>
                <w:color w:val="000000"/>
                <w:kern w:val="32"/>
                <w:sz w:val="24"/>
                <w:szCs w:val="24"/>
                <w:lang w:val="en-US" w:eastAsia="zh-CN"/>
              </w:rPr>
              <w:t>重金属污染土地修复项目，完善重金属污染土地退出机制，确保化肥、农药使用量零增长，切实保障粮食安全和群众健康</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环保局</w:t>
            </w: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土壤污染防治攻坚实施各项方案正在征求意见，将于近期印发。济源市土壤重金属污染农田修复试点项目正在开展中试实验，期限为2年（2017年10月-2019年10月），规模为105亩。农牧、林业部门正在开展受污染耕地种植结构调整工作，目前已完成2万亩土地流转，后期种植结构调整工作正在进行。</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37"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9</w:t>
            </w:r>
          </w:p>
        </w:tc>
        <w:tc>
          <w:tcPr>
            <w:tcW w:w="4860" w:type="dxa"/>
            <w:vAlign w:val="center"/>
          </w:tcPr>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default" w:asciiTheme="majorEastAsia" w:hAnsiTheme="majorEastAsia" w:eastAsiaTheme="majorEastAsia" w:cstheme="majorEastAsia"/>
                <w:snapToGrid w:val="0"/>
                <w:color w:val="000000"/>
                <w:kern w:val="32"/>
                <w:sz w:val="24"/>
                <w:szCs w:val="24"/>
                <w:lang w:val="en-US" w:eastAsia="zh-CN"/>
              </w:rPr>
              <w:t>全面实施乡村清洁工程</w:t>
            </w:r>
            <w:r>
              <w:rPr>
                <w:rFonts w:hint="eastAsia" w:asciiTheme="majorEastAsia" w:hAnsiTheme="majorEastAsia" w:eastAsiaTheme="majorEastAsia" w:cstheme="majorEastAsia"/>
                <w:snapToGrid w:val="0"/>
                <w:color w:val="000000"/>
                <w:kern w:val="32"/>
                <w:sz w:val="24"/>
                <w:szCs w:val="24"/>
                <w:lang w:val="en-US" w:eastAsia="zh-CN"/>
              </w:rPr>
              <w:t>。</w:t>
            </w:r>
            <w:r>
              <w:rPr>
                <w:rFonts w:hint="default" w:asciiTheme="majorEastAsia" w:hAnsiTheme="majorEastAsia" w:eastAsiaTheme="majorEastAsia" w:cstheme="majorEastAsia"/>
                <w:snapToGrid w:val="0"/>
                <w:color w:val="000000"/>
                <w:kern w:val="32"/>
                <w:sz w:val="24"/>
                <w:szCs w:val="24"/>
                <w:lang w:val="en-US" w:eastAsia="zh-CN"/>
              </w:rPr>
              <w:t>加强农业面源污染防治，建立农村人居环境综合整治长效机制，抓好“厕所革命”</w:t>
            </w:r>
            <w:r>
              <w:rPr>
                <w:rFonts w:hint="eastAsia" w:asciiTheme="majorEastAsia" w:hAnsiTheme="majorEastAsia" w:eastAsiaTheme="majorEastAsia" w:cstheme="majorEastAsia"/>
                <w:snapToGrid w:val="0"/>
                <w:color w:val="000000"/>
                <w:kern w:val="32"/>
                <w:sz w:val="24"/>
                <w:szCs w:val="24"/>
                <w:lang w:val="en-US" w:eastAsia="zh-CN"/>
              </w:rPr>
              <w:t>，</w:t>
            </w:r>
            <w:r>
              <w:rPr>
                <w:rFonts w:hint="default" w:asciiTheme="majorEastAsia" w:hAnsiTheme="majorEastAsia" w:eastAsiaTheme="majorEastAsia" w:cstheme="majorEastAsia"/>
                <w:snapToGrid w:val="0"/>
                <w:color w:val="000000"/>
                <w:kern w:val="32"/>
                <w:sz w:val="24"/>
                <w:szCs w:val="24"/>
                <w:lang w:val="en-US" w:eastAsia="zh-CN"/>
              </w:rPr>
              <w:t>解决好“垃圾围村”问题，打造生态宜居乡村</w:t>
            </w:r>
          </w:p>
        </w:tc>
        <w:tc>
          <w:tcPr>
            <w:tcW w:w="1540"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住建局</w:t>
            </w:r>
          </w:p>
        </w:tc>
        <w:tc>
          <w:tcPr>
            <w:tcW w:w="5715" w:type="dxa"/>
          </w:tcPr>
          <w:p>
            <w:pPr>
              <w:numPr>
                <w:ilvl w:val="0"/>
                <w:numId w:val="0"/>
              </w:num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1.市委农办已印发《农村人居环境整治三年行动实施方案》。</w:t>
            </w:r>
          </w:p>
          <w:p>
            <w:pPr>
              <w:numPr>
                <w:ilvl w:val="0"/>
                <w:numId w:val="0"/>
              </w:num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2.</w:t>
            </w:r>
            <w:r>
              <w:rPr>
                <w:rFonts w:hint="default" w:asciiTheme="majorEastAsia" w:hAnsiTheme="majorEastAsia" w:eastAsiaTheme="majorEastAsia" w:cstheme="majorEastAsia"/>
                <w:snapToGrid w:val="0"/>
                <w:color w:val="000000"/>
                <w:kern w:val="32"/>
                <w:sz w:val="24"/>
                <w:szCs w:val="24"/>
                <w:lang w:val="en-US" w:eastAsia="zh-CN"/>
              </w:rPr>
              <w:t>2018年</w:t>
            </w:r>
            <w:r>
              <w:rPr>
                <w:rFonts w:hint="eastAsia" w:asciiTheme="majorEastAsia" w:hAnsiTheme="majorEastAsia" w:eastAsiaTheme="majorEastAsia" w:cstheme="majorEastAsia"/>
                <w:snapToGrid w:val="0"/>
                <w:color w:val="000000"/>
                <w:kern w:val="32"/>
                <w:sz w:val="24"/>
                <w:szCs w:val="24"/>
                <w:lang w:val="en-US" w:eastAsia="zh-CN"/>
              </w:rPr>
              <w:t>计划完成</w:t>
            </w:r>
            <w:r>
              <w:rPr>
                <w:rFonts w:hint="default" w:asciiTheme="majorEastAsia" w:hAnsiTheme="majorEastAsia" w:eastAsiaTheme="majorEastAsia" w:cstheme="majorEastAsia"/>
                <w:snapToGrid w:val="0"/>
                <w:color w:val="000000"/>
                <w:kern w:val="32"/>
                <w:sz w:val="24"/>
                <w:szCs w:val="24"/>
                <w:lang w:val="en-US" w:eastAsia="zh-CN"/>
              </w:rPr>
              <w:t>35</w:t>
            </w:r>
            <w:r>
              <w:rPr>
                <w:rFonts w:hint="eastAsia" w:asciiTheme="majorEastAsia" w:hAnsiTheme="majorEastAsia" w:eastAsiaTheme="majorEastAsia" w:cstheme="majorEastAsia"/>
                <w:snapToGrid w:val="0"/>
                <w:color w:val="000000"/>
                <w:kern w:val="32"/>
                <w:sz w:val="24"/>
                <w:szCs w:val="24"/>
                <w:lang w:val="en-US" w:eastAsia="zh-CN"/>
              </w:rPr>
              <w:t>个村污水治理管网和场站建设，</w:t>
            </w:r>
            <w:r>
              <w:rPr>
                <w:rFonts w:hint="default" w:asciiTheme="majorEastAsia" w:hAnsiTheme="majorEastAsia" w:eastAsiaTheme="majorEastAsia" w:cstheme="majorEastAsia"/>
                <w:snapToGrid w:val="0"/>
                <w:color w:val="000000"/>
                <w:kern w:val="32"/>
                <w:sz w:val="24"/>
                <w:szCs w:val="24"/>
                <w:lang w:val="en-US" w:eastAsia="zh-CN"/>
              </w:rPr>
              <w:t>250公里管网配套建设</w:t>
            </w:r>
            <w:r>
              <w:rPr>
                <w:rFonts w:hint="eastAsia" w:asciiTheme="majorEastAsia" w:hAnsiTheme="majorEastAsia" w:eastAsiaTheme="majorEastAsia" w:cstheme="majorEastAsia"/>
                <w:snapToGrid w:val="0"/>
                <w:color w:val="000000"/>
                <w:kern w:val="32"/>
                <w:sz w:val="24"/>
                <w:szCs w:val="24"/>
                <w:lang w:val="en-US" w:eastAsia="zh-CN"/>
              </w:rPr>
              <w:t>，目前已开工</w:t>
            </w:r>
            <w:r>
              <w:rPr>
                <w:rFonts w:hint="default" w:asciiTheme="majorEastAsia" w:hAnsiTheme="majorEastAsia" w:eastAsiaTheme="majorEastAsia" w:cstheme="majorEastAsia"/>
                <w:snapToGrid w:val="0"/>
                <w:color w:val="000000"/>
                <w:kern w:val="32"/>
                <w:sz w:val="24"/>
                <w:szCs w:val="24"/>
                <w:lang w:val="en-US" w:eastAsia="zh-CN"/>
              </w:rPr>
              <w:t>25</w:t>
            </w:r>
            <w:r>
              <w:rPr>
                <w:rFonts w:hint="eastAsia" w:asciiTheme="majorEastAsia" w:hAnsiTheme="majorEastAsia" w:eastAsiaTheme="majorEastAsia" w:cstheme="majorEastAsia"/>
                <w:snapToGrid w:val="0"/>
                <w:color w:val="000000"/>
                <w:kern w:val="32"/>
                <w:sz w:val="24"/>
                <w:szCs w:val="24"/>
                <w:lang w:val="en-US" w:eastAsia="zh-CN"/>
              </w:rPr>
              <w:t>个村，铺设管网110公里，完成投资3800万元；清理14处非正规垃圾堆放点，目前已完成</w:t>
            </w:r>
            <w:r>
              <w:rPr>
                <w:rFonts w:hint="default" w:asciiTheme="majorEastAsia" w:hAnsiTheme="majorEastAsia" w:eastAsiaTheme="majorEastAsia" w:cstheme="majorEastAsia"/>
                <w:snapToGrid w:val="0"/>
                <w:color w:val="000000"/>
                <w:kern w:val="32"/>
                <w:sz w:val="24"/>
                <w:szCs w:val="24"/>
                <w:lang w:val="en-US" w:eastAsia="zh-CN"/>
              </w:rPr>
              <w:t>4</w:t>
            </w:r>
            <w:r>
              <w:rPr>
                <w:rFonts w:hint="eastAsia" w:asciiTheme="majorEastAsia" w:hAnsiTheme="majorEastAsia" w:eastAsiaTheme="majorEastAsia" w:cstheme="majorEastAsia"/>
                <w:snapToGrid w:val="0"/>
                <w:color w:val="000000"/>
                <w:kern w:val="32"/>
                <w:sz w:val="24"/>
                <w:szCs w:val="24"/>
                <w:lang w:val="en-US" w:eastAsia="zh-CN"/>
              </w:rPr>
              <w:t>处（轵城镇柏林、泥沟河；梨林镇东蒋、克井镇酒雾），其余正在推进。对检查中发现的11个镇57处垃圾乱堆放现象下发整改通知，目前已全部清理完成。</w:t>
            </w:r>
          </w:p>
          <w:p>
            <w:pPr>
              <w:numPr>
                <w:ilvl w:val="0"/>
                <w:numId w:val="0"/>
              </w:num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3.按照省农村户用卫生厕所标准，改造方案已制定，印发《2018年济源市农村户用厕所改造工作实施方案的通知》，准备实施。</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trPr>
        <w:tc>
          <w:tcPr>
            <w:tcW w:w="837" w:type="dxa"/>
            <w:vAlign w:val="center"/>
          </w:tcPr>
          <w:p>
            <w:pPr>
              <w:jc w:val="both"/>
              <w:rPr>
                <w:rFonts w:hint="eastAsia" w:ascii="楷体_GB2312" w:hAnsi="楷体_GB2312" w:eastAsia="楷体_GB2312" w:cs="楷体_GB2312"/>
                <w:b/>
                <w:bCs/>
                <w:snapToGrid w:val="0"/>
                <w:color w:val="000000"/>
                <w:kern w:val="32"/>
                <w:sz w:val="24"/>
                <w:szCs w:val="24"/>
                <w:lang w:val="en-US" w:eastAsia="zh-CN"/>
              </w:rPr>
            </w:pPr>
            <w:r>
              <w:rPr>
                <w:rFonts w:hint="eastAsia" w:ascii="楷体_GB2312" w:hAnsi="楷体_GB2312" w:eastAsia="楷体_GB2312" w:cs="楷体_GB2312"/>
                <w:b/>
                <w:bCs/>
                <w:snapToGrid w:val="0"/>
                <w:color w:val="000000"/>
                <w:kern w:val="32"/>
                <w:sz w:val="24"/>
                <w:szCs w:val="24"/>
                <w:lang w:val="en-US" w:eastAsia="zh-CN"/>
              </w:rPr>
              <w:t>（二）</w:t>
            </w:r>
          </w:p>
        </w:tc>
        <w:tc>
          <w:tcPr>
            <w:tcW w:w="4860" w:type="dxa"/>
            <w:vAlign w:val="center"/>
          </w:tcPr>
          <w:p>
            <w:pPr>
              <w:jc w:val="both"/>
              <w:rPr>
                <w:rFonts w:hint="default" w:ascii="楷体_GB2312" w:hAnsi="楷体_GB2312" w:eastAsia="楷体_GB2312" w:cs="楷体_GB2312"/>
                <w:b/>
                <w:bCs/>
                <w:snapToGrid w:val="0"/>
                <w:color w:val="000000"/>
                <w:kern w:val="32"/>
                <w:sz w:val="24"/>
                <w:szCs w:val="24"/>
                <w:lang w:val="en-US" w:eastAsia="zh-CN"/>
              </w:rPr>
            </w:pPr>
            <w:r>
              <w:rPr>
                <w:rFonts w:hint="eastAsia" w:ascii="楷体_GB2312" w:hAnsi="楷体_GB2312" w:eastAsia="楷体_GB2312" w:cs="楷体_GB2312"/>
                <w:b/>
                <w:bCs/>
                <w:snapToGrid w:val="0"/>
                <w:color w:val="000000"/>
                <w:kern w:val="32"/>
                <w:sz w:val="24"/>
                <w:szCs w:val="24"/>
                <w:lang w:val="en-US" w:eastAsia="zh-CN"/>
              </w:rPr>
              <w:t>深化供给侧结构性改革，着力构建现代产业体系</w:t>
            </w:r>
          </w:p>
        </w:tc>
        <w:tc>
          <w:tcPr>
            <w:tcW w:w="1540" w:type="dxa"/>
            <w:vAlign w:val="center"/>
          </w:tcPr>
          <w:p>
            <w:pPr>
              <w:jc w:val="center"/>
              <w:rPr>
                <w:vertAlign w:val="baseline"/>
              </w:rPr>
            </w:pP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837" w:type="dxa"/>
            <w:vAlign w:val="center"/>
          </w:tcPr>
          <w:p>
            <w:pPr>
              <w:jc w:val="center"/>
              <w:rPr>
                <w:rFonts w:hint="eastAsia" w:ascii="楷体_GB2312" w:hAnsi="楷体_GB2312" w:eastAsia="楷体_GB2312" w:cs="楷体_GB2312"/>
                <w:b/>
                <w:bCs/>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10</w:t>
            </w:r>
          </w:p>
        </w:tc>
        <w:tc>
          <w:tcPr>
            <w:tcW w:w="4860" w:type="dxa"/>
            <w:vAlign w:val="center"/>
          </w:tcPr>
          <w:p>
            <w:pPr>
              <w:jc w:val="both"/>
              <w:rPr>
                <w:rFonts w:hint="eastAsia" w:ascii="楷体_GB2312" w:hAnsi="楷体_GB2312" w:eastAsia="楷体_GB2312" w:cs="楷体_GB2312"/>
                <w:b/>
                <w:bCs/>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构建现代工业产业体系。进一步明确产业攻坚重点，聚焦主导产业发展，构建以有色金属为主导产业，钢铁及装备制造、化工、能源新能源、食品饮料为支柱产业，生物医药、环保科技、新型材料制造、电子信息等新兴产业共同发展的“1+4+4”产业体系</w:t>
            </w:r>
          </w:p>
        </w:tc>
        <w:tc>
          <w:tcPr>
            <w:tcW w:w="1540" w:type="dxa"/>
            <w:vAlign w:val="center"/>
          </w:tcPr>
          <w:p>
            <w:pPr>
              <w:jc w:val="center"/>
              <w:rPr>
                <w:rFonts w:hint="eastAsia" w:eastAsiaTheme="minorEastAsia"/>
                <w:vertAlign w:val="baseline"/>
                <w:lang w:eastAsia="zh-CN"/>
              </w:rPr>
            </w:pPr>
            <w:r>
              <w:rPr>
                <w:rFonts w:hint="eastAsia"/>
                <w:vertAlign w:val="baseline"/>
                <w:lang w:eastAsia="zh-CN"/>
              </w:rPr>
              <w:t>工信委</w:t>
            </w:r>
          </w:p>
        </w:tc>
        <w:tc>
          <w:tcPr>
            <w:tcW w:w="5715" w:type="dxa"/>
            <w:vAlign w:val="center"/>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1.组织开展钢铁行业过剩产能和地条钢死灰复燃全面排查，研究制定《打击取缔“地条钢”严防死灰复燃工作方案》，撰写报送打击取缔“地条钢”工作报告；出台《济源市城镇人口密集区危险化学品生产企业搬迁改造工作实施方案》，指导企业制定搬迁改造工作方案，推动济水乙炔厂和阿德科化工材料有限公司危化品企业启动搬迁改造工作。</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2.出台《济源市装备制造产业转型发展试点实施方案》，推荐虎岭高新技术开发区申报河南省装备制造业转型发展试点示范园区；组织开展2018年智能制造试点示范项目、河南省首台套重大技术装备、第一批智能制造系统解决方案优秀供应商申报工作和2018年第一、二批机器人“十百千”示范应用倍增工程示范项目等申报工作。</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11</w:t>
            </w:r>
          </w:p>
        </w:tc>
        <w:tc>
          <w:tcPr>
            <w:tcW w:w="4860" w:type="dxa"/>
            <w:vAlign w:val="center"/>
          </w:tcPr>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default" w:asciiTheme="majorEastAsia" w:hAnsiTheme="majorEastAsia" w:eastAsiaTheme="majorEastAsia" w:cstheme="majorEastAsia"/>
                <w:snapToGrid w:val="0"/>
                <w:color w:val="000000"/>
                <w:kern w:val="32"/>
                <w:sz w:val="24"/>
                <w:szCs w:val="24"/>
                <w:lang w:val="en-US" w:eastAsia="zh-CN"/>
              </w:rPr>
              <w:t>大力推进千亿级有色金属循环产业集群建设。支持有色金属产业扩大规模，加快推进江森自控蓄电池、豫光再生铅资源循环利用及高效清洁生产技改、豫光废铅酸蓄电池回收网络体系、万洋重金属废气综合回收治理体系等建设，打造济源市有色金属产业联盟，力争2018年有色金属行业总产值达到8</w:t>
            </w:r>
            <w:r>
              <w:rPr>
                <w:rFonts w:hint="eastAsia" w:asciiTheme="majorEastAsia" w:hAnsiTheme="majorEastAsia" w:eastAsiaTheme="majorEastAsia" w:cstheme="majorEastAsia"/>
                <w:snapToGrid w:val="0"/>
                <w:color w:val="000000"/>
                <w:kern w:val="32"/>
                <w:sz w:val="24"/>
                <w:szCs w:val="24"/>
                <w:lang w:val="en-US" w:eastAsia="zh-CN"/>
              </w:rPr>
              <w:t>50</w:t>
            </w:r>
            <w:r>
              <w:rPr>
                <w:rFonts w:hint="default" w:asciiTheme="majorEastAsia" w:hAnsiTheme="majorEastAsia" w:eastAsiaTheme="majorEastAsia" w:cstheme="majorEastAsia"/>
                <w:snapToGrid w:val="0"/>
                <w:color w:val="000000"/>
                <w:kern w:val="32"/>
                <w:sz w:val="24"/>
                <w:szCs w:val="24"/>
                <w:lang w:val="en-US" w:eastAsia="zh-CN"/>
              </w:rPr>
              <w:t>亿元</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工信委</w:t>
            </w:r>
          </w:p>
        </w:tc>
        <w:tc>
          <w:tcPr>
            <w:tcW w:w="5715" w:type="dxa"/>
            <w:vAlign w:val="center"/>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为实现有色金属企业的降本增效，多次召开工业用品推介会；举办国家级有色金属行业发展高峰论坛；举办铅酸蓄电电池生命周期研讨会；组织工业企业进行环保培训。围绕千亿级有色金属循环产业集群建设，豫光再生铅资源循环利用及高效清洁生产技改、豫光废铅酸蓄电池回收网络体系、万洋重金属废气综合回收治理体系等重点项目由于环保封土行动，项目建设缓慢。</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trPr>
        <w:tc>
          <w:tcPr>
            <w:tcW w:w="837" w:type="dxa"/>
            <w:vAlign w:val="center"/>
          </w:tcPr>
          <w:p>
            <w:pPr>
              <w:jc w:val="center"/>
              <w:rPr>
                <w:rFonts w:hint="eastAsia" w:eastAsiaTheme="minorEastAsia"/>
                <w:vertAlign w:val="baseline"/>
                <w:lang w:val="en-US" w:eastAsia="zh-CN"/>
              </w:rPr>
            </w:pPr>
            <w:r>
              <w:rPr>
                <w:rFonts w:hint="eastAsia" w:asciiTheme="majorEastAsia" w:hAnsiTheme="majorEastAsia" w:eastAsiaTheme="majorEastAsia" w:cstheme="majorEastAsia"/>
                <w:snapToGrid w:val="0"/>
                <w:color w:val="000000"/>
                <w:kern w:val="32"/>
                <w:sz w:val="24"/>
                <w:szCs w:val="24"/>
                <w:lang w:val="en-US" w:eastAsia="zh-CN"/>
              </w:rPr>
              <w:t>12</w:t>
            </w:r>
          </w:p>
        </w:tc>
        <w:tc>
          <w:tcPr>
            <w:tcW w:w="4860" w:type="dxa"/>
            <w:vAlign w:val="center"/>
          </w:tcPr>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default" w:asciiTheme="majorEastAsia" w:hAnsiTheme="majorEastAsia" w:eastAsiaTheme="majorEastAsia" w:cstheme="majorEastAsia"/>
                <w:snapToGrid w:val="0"/>
                <w:color w:val="000000"/>
                <w:kern w:val="32"/>
                <w:sz w:val="24"/>
                <w:szCs w:val="24"/>
                <w:lang w:val="en-US" w:eastAsia="zh-CN"/>
              </w:rPr>
              <w:t>加快重点产业发展。进一步拉长钢铁产业链条，实施济钢高强度基础件用特殊钢棒线材生产线、万道捷建装配式绿色建筑产业配套设施等项目；建设全省新能源汽车研发生产基地，加快力帆“四大工艺”等项目建设；支持食品优势企业兼并整合，抓好中沃玉泉特色产业园综合饮料、伊利乳饮料、优洋饮品扩建等项目建设</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工信委</w:t>
            </w:r>
          </w:p>
        </w:tc>
        <w:tc>
          <w:tcPr>
            <w:tcW w:w="5715" w:type="dxa"/>
            <w:vAlign w:val="center"/>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出台《济源市装备制造产业转型发展试点实施方案》，推荐虎岭高新技术开发区申报河南省装备制造业转型发展试点示范园区；组织开展2018年智能制造试点示范项目、河南省首台套重大技术装备、第一批智能制造系统解决方案优秀供应商申报工作和2018年第一、二批机器人“十百千”示范应用倍增工程示范项目等申报工作；推动新能源汽车发展，组织开展市重点企业充电设施建设。</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837"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13</w:t>
            </w:r>
          </w:p>
        </w:tc>
        <w:tc>
          <w:tcPr>
            <w:tcW w:w="4860" w:type="dxa"/>
            <w:vAlign w:val="center"/>
          </w:tcPr>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提升产业集聚（开发）区竞争力。</w:t>
            </w:r>
            <w:r>
              <w:rPr>
                <w:rFonts w:hint="default" w:asciiTheme="majorEastAsia" w:hAnsiTheme="majorEastAsia" w:eastAsiaTheme="majorEastAsia" w:cstheme="majorEastAsia"/>
                <w:snapToGrid w:val="0"/>
                <w:color w:val="000000"/>
                <w:kern w:val="32"/>
                <w:sz w:val="24"/>
                <w:szCs w:val="24"/>
                <w:lang w:val="en-US" w:eastAsia="zh-CN"/>
              </w:rPr>
              <w:t>发挥虎岭、玉川两个产业集聚（开发）区经济发展主阵地作用，积极对接全省重点产业转型发展专项方案，加强产业集群培育、创新平台建设，不断推进产业集聚（开发）区做强做大、提质发展，积极创建全省转型升级示范区</w:t>
            </w:r>
          </w:p>
        </w:tc>
        <w:tc>
          <w:tcPr>
            <w:tcW w:w="1540"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集聚区办</w:t>
            </w: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2018年，产业集聚区实施重点项目59个，投资88亿元。积极争取纳入郑洛新国家自主创新示范区辐射区，打造豫西北地区科技创新高地，围绕我市产业龙头和优势企业，培育一批创新龙头企业，依托企业主体，加强省级、市级重点实验室、工程技术研究中心等科技创新平台建设。印发了《济源市加快产业集聚区提质转型发展专项工作方案》。</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837"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14</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大力促进工业绿色、智能、创新发展。积极培育绿色工厂、绿色园区、绿色供应链，</w:t>
            </w:r>
            <w:r>
              <w:rPr>
                <w:rFonts w:hint="eastAsia" w:asciiTheme="majorEastAsia" w:hAnsiTheme="majorEastAsia" w:eastAsiaTheme="majorEastAsia" w:cstheme="majorEastAsia"/>
                <w:snapToGrid w:val="0"/>
                <w:color w:val="000000"/>
                <w:kern w:val="32"/>
                <w:sz w:val="24"/>
                <w:szCs w:val="24"/>
                <w:lang w:val="en-US" w:eastAsia="zh-CN"/>
              </w:rPr>
              <w:t>力争创建</w:t>
            </w:r>
            <w:r>
              <w:rPr>
                <w:rFonts w:hint="default" w:asciiTheme="majorEastAsia" w:hAnsiTheme="majorEastAsia" w:eastAsiaTheme="majorEastAsia" w:cstheme="majorEastAsia"/>
                <w:snapToGrid w:val="0"/>
                <w:color w:val="000000"/>
                <w:kern w:val="32"/>
                <w:sz w:val="24"/>
                <w:szCs w:val="24"/>
                <w:lang w:val="en-US" w:eastAsia="zh-CN"/>
              </w:rPr>
              <w:t>2家绿色示范工厂、1个绿色园区；培育制造业创新中心，力争1家企业列入省创新中心培育名单；深入开展质量标杆达标活动，创建1家省级质量标杆企业、1家省级品牌示范企业；支持中原云工、ECP企业云比价采购等工业云平台发展</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工信委</w:t>
            </w: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1.2018年以来，我市实施了豫光再生铅资源循环利用及高效清洁生产技改、济源钢铁烧结机脱硫脱硝环保提升改造、聚鑫资源30万吨废旧蓄电池回收利用、万洋冶炼生产系统节能改造等一批绿色化改造项目，豫光锌业被工信部确定为国家级绿色工厂，济源中联水泥列入省级培育类绿色工厂名单，万洋绿色能源“6-DZM-12铅酸蓄电池”申报绿色设计产品材料已上报省工信委；根据《济源市进一步支持工业经济发展的若干政策意见》规定，已落实1970万元专项资金用于扶持豫光发展再生铅。</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2.鼓励有条件的企业牵头建设制造业创新中心，组织申报2018年河南省制造业创新中心，组织相关企业参加省工信委召开的申报工作培训，并邀请专家帮助、指导企业编写《河南省制造业创新中心建设方案》。目前</w:t>
            </w:r>
            <w:bookmarkStart w:id="0" w:name="_Toc514601655"/>
            <w:bookmarkEnd w:id="0"/>
            <w:bookmarkStart w:id="1" w:name="_Toc3291"/>
            <w:bookmarkEnd w:id="1"/>
            <w:r>
              <w:rPr>
                <w:rFonts w:hint="eastAsia" w:asciiTheme="majorEastAsia" w:hAnsiTheme="majorEastAsia" w:eastAsiaTheme="majorEastAsia" w:cstheme="majorEastAsia"/>
                <w:snapToGrid w:val="0"/>
                <w:color w:val="000000"/>
                <w:kern w:val="32"/>
                <w:sz w:val="24"/>
                <w:szCs w:val="24"/>
                <w:lang w:val="en-US" w:eastAsia="zh-CN"/>
              </w:rPr>
              <w:t>济源钢铁牵头建设的河南省高性能特殊钢材料创新中心符合申报条件，推荐申报2018年度河南省制造业创新中心，申报资料于6月13日上报省工信委和财政厅。组织有条件企业申报2018年省质量标杆。中沃实业有限公司的实施7S 现场管理的实践经验获得2018年河南省质量标杆。</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3.截止5月底，我市已有41家企业开通两化融合管理体系贯标工作跟踪服务系统企业账号，开通账号数量居全省第6位，完成任务比例居全省第1位；已有170家企业在河南省两化融合评估系统上开展对标，对标企业数量居全省第6位，完成任务比例居全省第1位。5月下旬，对全市智能化改造项目进行了重新调查摸底，共收集项目25个，其中，总投资3000万元以上的项目9个。目前已推荐济源钢铁、豫光金铅股份、富泰华精密电子、金马能源、清水源科技等企业申报智能化改造领域的国家级、省级试点示范。5月17日，举办了济源市工业互联网发展专题报告会；5月28日—31日，组织豫光集团、金马能源等企业的中高层管理人员参加了河南省工业互联网与先进制造业高级研修班；5月30日，组织11家工业企业、2家智能制造系统解决方案供应企业参加了河南省智能制造和工业互联网对接大会；6月13日，举办了济源市“企业上云”培训会。</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837"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15</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加大实体企业帮扶。出台支持工业发展的政策措施，持续推进“四有”企业脱困，适时启动第三批中小企业脱困工作；完善“企业服务110”系统，梳理涉企保证金、行政事业收费、政府性基金、经营服务性收费“四个清单”；积极落实中小微企业优惠政策，切实减轻企业负担；弘扬企业家精神，完善企业治理结构，强化企业家队伍梯次建设</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工信委</w:t>
            </w: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1.企业通过110系统共反映问题28个，目前已交办问题27个，已办结问题21个，其他问题正在积极解决中。组织召开会商会，解决企业反映的遗留问题。上半年组织召开5次会商会议，重点解决了济源豫金靶材反映的要素保障问题，济源钢铁、巨力钢丝绳、富士康反映的优惠政策落实问题。</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2.做好清理、取消各部门未经法律、法规授权或国务院批准擅自设立的保证金项目，落实国家明令取消、停征的保证金项目，限期返还已到期或符合返还条件的各类保证金。同时，围绕开展降成本减负担工作情况、涉企保证金清理规范情况、清理规范涉企经营服务性收费情况、整治乱收费、乱摊派等违规行为情况、服务企业机制建设情况开展自查自纠工作。涉企保证金目录清单已建立并在政府网站和部门网站进行了公示，清单外一律不得收费。出台《济源市2018年减轻企业负担工作实施方案》，下步将召开全市企业减轻企业负担工作会议，对减轻企业负担重点工作进行安排部署。</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3.待省政府文件出台后，根据文件精神进一步修改完善《关于营造企业家健康成长环境弘扬企业家精神更好发挥企业家作用的实施意见》。我市龙兴钛业、优洋饮品、万道捷建等8家企业成功入选河南省青年企业家库名单。组织龙兴钛业、祥云科技负责人参加省工信委和北京理工大学开展的2017—2018年度中小企业经营管理领军人才培训；积极推荐济源市万洋冶炼(集团)有限公司、济源市暖煌新能源科技有限公司、河南清水源科技股份有限公司三家工业和信息化领域转型发展重点企业的董事长或总经理参加省工信厅7月份在上海交通大学举办的“百名领军型企业家”培训。我市优秀企业家王志清、孙有才、杨安国、王明忠四人成功入选河南省青年企业家成长导师团成员名单。</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16</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加快构建全域旅游发展格局。进一步叫响“一山一水一精神”品牌，成功创建国家全域旅游示范区，加快王屋山（济水源）国家5A级景区创建，启动小浪底北岸国家级旅游度假区创建工作，积极推进“旅游厕所建设年”活动，重点实施王屋老街、小浪底空轨、愚公移山干部学院新校区和愚公移山精神纪念馆等项目，打造王屋山福源小镇、济水源小镇等特色小镇</w:t>
            </w:r>
          </w:p>
        </w:tc>
        <w:tc>
          <w:tcPr>
            <w:tcW w:w="1540" w:type="dxa"/>
            <w:vAlign w:val="center"/>
          </w:tcPr>
          <w:p>
            <w:pPr>
              <w:jc w:val="center"/>
              <w:rPr>
                <w:rFonts w:hint="eastAsia" w:asciiTheme="majorEastAsia" w:hAnsiTheme="majorEastAsia" w:eastAsiaTheme="majorEastAsia" w:cstheme="majorEastAsia"/>
                <w:snapToGrid w:val="0"/>
                <w:color w:val="000000" w:themeColor="text1"/>
                <w:kern w:val="32"/>
                <w:sz w:val="24"/>
                <w:szCs w:val="24"/>
                <w:lang w:val="en-US" w:eastAsia="zh-CN"/>
                <w14:textFill>
                  <w14:solidFill>
                    <w14:schemeClr w14:val="tx1"/>
                  </w14:solidFill>
                </w14:textFill>
              </w:rPr>
            </w:pPr>
            <w:r>
              <w:rPr>
                <w:rFonts w:hint="eastAsia" w:asciiTheme="majorEastAsia" w:hAnsiTheme="majorEastAsia" w:eastAsiaTheme="majorEastAsia" w:cstheme="majorEastAsia"/>
                <w:snapToGrid w:val="0"/>
                <w:color w:val="000000" w:themeColor="text1"/>
                <w:kern w:val="32"/>
                <w:sz w:val="24"/>
                <w:szCs w:val="24"/>
                <w:lang w:val="en-US" w:eastAsia="zh-CN"/>
                <w14:textFill>
                  <w14:solidFill>
                    <w14:schemeClr w14:val="tx1"/>
                  </w14:solidFill>
                </w14:textFill>
              </w:rPr>
              <w:t>旅发委</w:t>
            </w:r>
          </w:p>
          <w:p>
            <w:pPr>
              <w:jc w:val="center"/>
              <w:rPr>
                <w:rFonts w:hint="eastAsia" w:asciiTheme="majorEastAsia" w:hAnsiTheme="majorEastAsia" w:eastAsiaTheme="majorEastAsia" w:cstheme="majorEastAsia"/>
                <w:snapToGrid w:val="0"/>
                <w:color w:val="000000" w:themeColor="text1"/>
                <w:kern w:val="32"/>
                <w:sz w:val="24"/>
                <w:szCs w:val="24"/>
                <w:lang w:val="en-US" w:eastAsia="zh-CN"/>
                <w14:textFill>
                  <w14:solidFill>
                    <w14:schemeClr w14:val="tx1"/>
                  </w14:solidFill>
                </w14:textFill>
              </w:rPr>
            </w:pPr>
            <w:r>
              <w:rPr>
                <w:rFonts w:hint="eastAsia" w:asciiTheme="majorEastAsia" w:hAnsiTheme="majorEastAsia" w:eastAsiaTheme="majorEastAsia" w:cstheme="majorEastAsia"/>
                <w:snapToGrid w:val="0"/>
                <w:color w:val="000000" w:themeColor="text1"/>
                <w:kern w:val="32"/>
                <w:sz w:val="24"/>
                <w:szCs w:val="24"/>
                <w:lang w:val="en-US" w:eastAsia="zh-CN"/>
                <w14:textFill>
                  <w14:solidFill>
                    <w14:schemeClr w14:val="tx1"/>
                  </w14:solidFill>
                </w14:textFill>
              </w:rPr>
              <w:t>交通局</w:t>
            </w:r>
          </w:p>
          <w:p>
            <w:pPr>
              <w:jc w:val="center"/>
              <w:rPr>
                <w:rFonts w:hint="eastAsia" w:asciiTheme="majorEastAsia" w:hAnsiTheme="majorEastAsia" w:eastAsiaTheme="majorEastAsia" w:cstheme="majorEastAsia"/>
                <w:snapToGrid w:val="0"/>
                <w:color w:val="000000" w:themeColor="text1"/>
                <w:spacing w:val="-20"/>
                <w:kern w:val="32"/>
                <w:sz w:val="24"/>
                <w:szCs w:val="24"/>
                <w:lang w:val="en-US" w:eastAsia="zh-CN"/>
                <w14:textFill>
                  <w14:solidFill>
                    <w14:schemeClr w14:val="tx1"/>
                  </w14:solidFill>
                </w14:textFill>
              </w:rPr>
            </w:pPr>
            <w:r>
              <w:rPr>
                <w:rFonts w:hint="eastAsia" w:asciiTheme="majorEastAsia" w:hAnsiTheme="majorEastAsia" w:eastAsiaTheme="majorEastAsia" w:cstheme="majorEastAsia"/>
                <w:snapToGrid w:val="0"/>
                <w:color w:val="000000" w:themeColor="text1"/>
                <w:spacing w:val="-20"/>
                <w:kern w:val="32"/>
                <w:sz w:val="24"/>
                <w:szCs w:val="24"/>
                <w:lang w:val="en-US" w:eastAsia="zh-CN"/>
                <w14:textFill>
                  <w14:solidFill>
                    <w14:schemeClr w14:val="tx1"/>
                  </w14:solidFill>
                </w14:textFill>
              </w:rPr>
              <w:t>小浪底</w:t>
            </w:r>
          </w:p>
          <w:p>
            <w:pPr>
              <w:jc w:val="center"/>
              <w:rPr>
                <w:rFonts w:hint="eastAsia" w:asciiTheme="majorEastAsia" w:hAnsiTheme="majorEastAsia" w:eastAsiaTheme="majorEastAsia" w:cstheme="majorEastAsia"/>
                <w:snapToGrid w:val="0"/>
                <w:color w:val="FF0000"/>
                <w:kern w:val="32"/>
                <w:sz w:val="24"/>
                <w:szCs w:val="24"/>
                <w:lang w:val="en-US" w:eastAsia="zh-CN"/>
              </w:rPr>
            </w:pPr>
            <w:r>
              <w:rPr>
                <w:rFonts w:hint="eastAsia" w:asciiTheme="majorEastAsia" w:hAnsiTheme="majorEastAsia" w:eastAsiaTheme="majorEastAsia" w:cstheme="majorEastAsia"/>
                <w:snapToGrid w:val="0"/>
                <w:color w:val="000000" w:themeColor="text1"/>
                <w:spacing w:val="-20"/>
                <w:kern w:val="32"/>
                <w:sz w:val="24"/>
                <w:szCs w:val="24"/>
                <w:lang w:val="en-US" w:eastAsia="zh-CN"/>
                <w14:textFill>
                  <w14:solidFill>
                    <w14:schemeClr w14:val="tx1"/>
                  </w14:solidFill>
                </w14:textFill>
              </w:rPr>
              <w:t>北岸新区</w:t>
            </w:r>
          </w:p>
        </w:tc>
        <w:tc>
          <w:tcPr>
            <w:tcW w:w="5715" w:type="dxa"/>
            <w:vAlign w:val="center"/>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目前，正在进行旅游驿站设立工作及旅游融合点谋划工作，正在积极推进旅游厕所建设，已完工</w:t>
            </w:r>
            <w:r>
              <w:rPr>
                <w:rFonts w:hint="default" w:asciiTheme="majorEastAsia" w:hAnsiTheme="majorEastAsia" w:eastAsiaTheme="majorEastAsia" w:cstheme="majorEastAsia"/>
                <w:snapToGrid w:val="0"/>
                <w:color w:val="000000"/>
                <w:kern w:val="32"/>
                <w:sz w:val="24"/>
                <w:szCs w:val="24"/>
                <w:lang w:val="en-US" w:eastAsia="zh-CN"/>
              </w:rPr>
              <w:t>6</w:t>
            </w:r>
            <w:r>
              <w:rPr>
                <w:rFonts w:hint="eastAsia" w:asciiTheme="majorEastAsia" w:hAnsiTheme="majorEastAsia" w:eastAsiaTheme="majorEastAsia" w:cstheme="majorEastAsia"/>
                <w:snapToGrid w:val="0"/>
                <w:color w:val="000000"/>
                <w:kern w:val="32"/>
                <w:sz w:val="24"/>
                <w:szCs w:val="24"/>
                <w:lang w:val="en-US" w:eastAsia="zh-CN"/>
              </w:rPr>
              <w:t>座，正在建设</w:t>
            </w:r>
            <w:r>
              <w:rPr>
                <w:rFonts w:hint="default" w:asciiTheme="majorEastAsia" w:hAnsiTheme="majorEastAsia" w:eastAsiaTheme="majorEastAsia" w:cstheme="majorEastAsia"/>
                <w:snapToGrid w:val="0"/>
                <w:color w:val="000000"/>
                <w:kern w:val="32"/>
                <w:sz w:val="24"/>
                <w:szCs w:val="24"/>
                <w:lang w:val="en-US" w:eastAsia="zh-CN"/>
              </w:rPr>
              <w:t>11</w:t>
            </w:r>
            <w:r>
              <w:rPr>
                <w:rFonts w:hint="eastAsia" w:asciiTheme="majorEastAsia" w:hAnsiTheme="majorEastAsia" w:eastAsiaTheme="majorEastAsia" w:cstheme="majorEastAsia"/>
                <w:snapToGrid w:val="0"/>
                <w:color w:val="000000"/>
                <w:kern w:val="32"/>
                <w:sz w:val="24"/>
                <w:szCs w:val="24"/>
                <w:lang w:val="en-US" w:eastAsia="zh-CN"/>
              </w:rPr>
              <w:t>座。王屋山景区5A创建工作按照台账有序推进，已向省旅游局报送王屋山景观景观资源价值评价报告，目前正在联系专家准备对《王屋山景区旅游总体规划》、《王屋山国家5A级旅游景区创建提升规划方案》进行评审。</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17</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大力发展现代物流。高标准规划建设现代物流园区，加快玉川物流园建设</w:t>
            </w:r>
            <w:r>
              <w:rPr>
                <w:rFonts w:hint="eastAsia" w:asciiTheme="majorEastAsia" w:hAnsiTheme="majorEastAsia" w:eastAsiaTheme="majorEastAsia" w:cstheme="majorEastAsia"/>
                <w:snapToGrid w:val="0"/>
                <w:color w:val="000000"/>
                <w:kern w:val="32"/>
                <w:sz w:val="24"/>
                <w:szCs w:val="24"/>
                <w:lang w:val="en-US" w:eastAsia="zh-CN"/>
              </w:rPr>
              <w:t>；</w:t>
            </w:r>
            <w:r>
              <w:rPr>
                <w:rFonts w:hint="default" w:asciiTheme="majorEastAsia" w:hAnsiTheme="majorEastAsia" w:eastAsiaTheme="majorEastAsia" w:cstheme="majorEastAsia"/>
                <w:snapToGrid w:val="0"/>
                <w:color w:val="000000"/>
                <w:kern w:val="32"/>
                <w:sz w:val="24"/>
                <w:szCs w:val="24"/>
                <w:lang w:val="en-US" w:eastAsia="zh-CN"/>
              </w:rPr>
              <w:t>积极争取在我市设立内贸口岸，提升两仓建设水平，探索建立全市统一的物流云平台，完善市、镇、村三级物流网络，积极引进冷链物流、快递物流、电商物流龙头企业；支持坤鑫物流等企业做大做强</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商务局</w:t>
            </w:r>
          </w:p>
        </w:tc>
        <w:tc>
          <w:tcPr>
            <w:tcW w:w="5715" w:type="dxa"/>
            <w:vAlign w:val="center"/>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郑州大学管理工程学院、郑州大学物流供应链研究中心陈教授来济，与商务、发改、交通、规划、国土等相关单位，召开玉川物流园规划讨论会，对玉川物流园规划进行讨论。正在就玉川物流园规划方案进行修改。</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18</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积极推动其他服务业发展。加快区域性商品交易市场</w:t>
            </w:r>
            <w:r>
              <w:rPr>
                <w:rFonts w:hint="eastAsia" w:asciiTheme="majorEastAsia" w:hAnsiTheme="majorEastAsia" w:eastAsiaTheme="majorEastAsia" w:cstheme="majorEastAsia"/>
                <w:snapToGrid w:val="0"/>
                <w:color w:val="000000"/>
                <w:kern w:val="32"/>
                <w:sz w:val="24"/>
                <w:szCs w:val="24"/>
                <w:lang w:val="en-US" w:eastAsia="zh-CN"/>
              </w:rPr>
              <w:t>、</w:t>
            </w:r>
            <w:r>
              <w:rPr>
                <w:rFonts w:hint="default" w:asciiTheme="majorEastAsia" w:hAnsiTheme="majorEastAsia" w:eastAsiaTheme="majorEastAsia" w:cstheme="majorEastAsia"/>
                <w:snapToGrid w:val="0"/>
                <w:color w:val="000000"/>
                <w:kern w:val="32"/>
                <w:sz w:val="24"/>
                <w:szCs w:val="24"/>
                <w:lang w:val="en-US" w:eastAsia="zh-CN"/>
              </w:rPr>
              <w:t>小吃市场、特色商业街区建设，推动餐饮业加快发展，争创中国传统餐饮历史文化名城；提升房屋品质和物业管理水平，加快推进城中村改造和棚户区建设</w:t>
            </w:r>
            <w:r>
              <w:rPr>
                <w:rFonts w:hint="eastAsia" w:asciiTheme="majorEastAsia" w:hAnsiTheme="majorEastAsia" w:eastAsiaTheme="majorEastAsia" w:cstheme="majorEastAsia"/>
                <w:snapToGrid w:val="0"/>
                <w:color w:val="000000"/>
                <w:kern w:val="32"/>
                <w:sz w:val="24"/>
                <w:szCs w:val="24"/>
                <w:lang w:val="en-US" w:eastAsia="zh-CN"/>
              </w:rPr>
              <w:t>，商品房房去化周期控制在12个月以内</w:t>
            </w:r>
            <w:r>
              <w:rPr>
                <w:rFonts w:hint="default" w:asciiTheme="majorEastAsia" w:hAnsiTheme="majorEastAsia" w:eastAsiaTheme="majorEastAsia" w:cstheme="majorEastAsia"/>
                <w:snapToGrid w:val="0"/>
                <w:color w:val="000000"/>
                <w:kern w:val="32"/>
                <w:sz w:val="24"/>
                <w:szCs w:val="24"/>
                <w:lang w:val="en-US" w:eastAsia="zh-CN"/>
              </w:rPr>
              <w:t>；深化文旅融合发展，依托愚公移山精神、王屋山道文化、济水文化等文化资源，打造特色文化精品，加快王屋山文化产业园建设</w:t>
            </w:r>
            <w:r>
              <w:rPr>
                <w:rFonts w:hint="eastAsia" w:asciiTheme="majorEastAsia" w:hAnsiTheme="majorEastAsia" w:eastAsiaTheme="majorEastAsia" w:cstheme="majorEastAsia"/>
                <w:snapToGrid w:val="0"/>
                <w:color w:val="000000"/>
                <w:kern w:val="32"/>
                <w:sz w:val="24"/>
                <w:szCs w:val="24"/>
                <w:lang w:val="en-US" w:eastAsia="zh-CN"/>
              </w:rPr>
              <w:t>；</w:t>
            </w:r>
            <w:r>
              <w:rPr>
                <w:rFonts w:hint="default" w:asciiTheme="majorEastAsia" w:hAnsiTheme="majorEastAsia" w:eastAsiaTheme="majorEastAsia" w:cstheme="majorEastAsia"/>
                <w:snapToGrid w:val="0"/>
                <w:color w:val="000000"/>
                <w:kern w:val="32"/>
                <w:sz w:val="24"/>
                <w:szCs w:val="24"/>
                <w:lang w:val="en-US" w:eastAsia="zh-CN"/>
              </w:rPr>
              <w:t>大力发展普惠金融，全年新增融资50亿元；</w:t>
            </w:r>
            <w:r>
              <w:rPr>
                <w:rFonts w:hint="eastAsia" w:asciiTheme="majorEastAsia" w:hAnsiTheme="majorEastAsia" w:eastAsiaTheme="majorEastAsia" w:cstheme="majorEastAsia"/>
                <w:snapToGrid w:val="0"/>
                <w:color w:val="000000"/>
                <w:kern w:val="32"/>
                <w:sz w:val="24"/>
                <w:szCs w:val="24"/>
                <w:lang w:val="en-US" w:eastAsia="zh-CN"/>
              </w:rPr>
              <w:t>实施“互联网+”行动，</w:t>
            </w:r>
            <w:r>
              <w:rPr>
                <w:rFonts w:hint="default" w:asciiTheme="majorEastAsia" w:hAnsiTheme="majorEastAsia" w:eastAsiaTheme="majorEastAsia" w:cstheme="majorEastAsia"/>
                <w:snapToGrid w:val="0"/>
                <w:color w:val="000000"/>
                <w:kern w:val="32"/>
                <w:sz w:val="24"/>
                <w:szCs w:val="24"/>
                <w:lang w:val="en-US" w:eastAsia="zh-CN"/>
              </w:rPr>
              <w:t>大力发展电子商务、大数据、云计算、物联网，力争电子商务产业园入驻企业100家以上，电子商务交易额突破35亿元；加快发展健康养老、居民和家庭服务等产业，</w:t>
            </w:r>
            <w:r>
              <w:rPr>
                <w:rFonts w:hint="eastAsia" w:asciiTheme="majorEastAsia" w:hAnsiTheme="majorEastAsia" w:eastAsiaTheme="majorEastAsia" w:cstheme="majorEastAsia"/>
                <w:snapToGrid w:val="0"/>
                <w:color w:val="000000"/>
                <w:kern w:val="32"/>
                <w:sz w:val="24"/>
                <w:szCs w:val="24"/>
                <w:lang w:val="en-US" w:eastAsia="zh-CN"/>
              </w:rPr>
              <w:t>建设小浪底康养基地，</w:t>
            </w:r>
            <w:r>
              <w:rPr>
                <w:rFonts w:hint="default" w:asciiTheme="majorEastAsia" w:hAnsiTheme="majorEastAsia" w:eastAsiaTheme="majorEastAsia" w:cstheme="majorEastAsia"/>
                <w:snapToGrid w:val="0"/>
                <w:color w:val="000000"/>
                <w:kern w:val="32"/>
                <w:sz w:val="24"/>
                <w:szCs w:val="24"/>
                <w:lang w:val="en-US" w:eastAsia="zh-CN"/>
              </w:rPr>
              <w:t>培育现代服务业新业态</w:t>
            </w:r>
          </w:p>
        </w:tc>
        <w:tc>
          <w:tcPr>
            <w:tcW w:w="1540"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发改委</w:t>
            </w:r>
          </w:p>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商务局</w:t>
            </w:r>
          </w:p>
        </w:tc>
        <w:tc>
          <w:tcPr>
            <w:tcW w:w="5715" w:type="dxa"/>
            <w:vAlign w:val="center"/>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1.4月27日组织我市20余家餐饮知名企业赴长垣、开封两地考察了解，学习先进经验、好的做法；5月15日、6月20日组织召开餐饮业转型发展暨愚公家常菜征求意见会，深入分析我市餐饮业转型发展面临的困境、机遇及挑战；结合前期考察交流学习和我市实际，形成了《关于我市餐饮业转型发展的调研报告》，并拟定餐饮业发展实施细则。</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2.1-5月份，全市电子商务交易额达到20亿元，目前入驻电商产业园企业70多家。</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3.协调第一洞天文化产业园项目进展，列入省服务业重点项目。组织召开第二次健康养老转型攻坚工作推进会。建立健康养老转型攻坚工作台账。5月份，组织玉川物流园区申报省级服务业专业园区，目前已通过初审。</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19</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积极培育服务业龙头企业。开展市级服务业“十强十快”企业培育，提高企业精细化、专业化服务水平，培育现代服务业企业集团；摸清工业内部服务业发展情况，制定个转企、企升规和三产剥离实施方案，壮大服务业企业规模</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商务局</w:t>
            </w:r>
          </w:p>
        </w:tc>
        <w:tc>
          <w:tcPr>
            <w:tcW w:w="5715" w:type="dxa"/>
            <w:vAlign w:val="center"/>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积极打造信尧城市广场，大润发，丹尼斯等商业品牌集聚区，鼓励企业做大做强。</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20</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大力推动创新创业发展。</w:t>
            </w:r>
            <w:r>
              <w:rPr>
                <w:rFonts w:hint="eastAsia" w:asciiTheme="majorEastAsia" w:hAnsiTheme="majorEastAsia" w:eastAsiaTheme="majorEastAsia" w:cstheme="majorEastAsia"/>
                <w:snapToGrid w:val="0"/>
                <w:color w:val="000000"/>
                <w:kern w:val="32"/>
                <w:sz w:val="24"/>
                <w:szCs w:val="24"/>
                <w:lang w:val="en-US" w:eastAsia="zh-CN"/>
              </w:rPr>
              <w:t>积极</w:t>
            </w:r>
            <w:r>
              <w:rPr>
                <w:rFonts w:hint="default" w:asciiTheme="majorEastAsia" w:hAnsiTheme="majorEastAsia" w:eastAsiaTheme="majorEastAsia" w:cstheme="majorEastAsia"/>
                <w:snapToGrid w:val="0"/>
                <w:color w:val="000000"/>
                <w:kern w:val="32"/>
                <w:sz w:val="24"/>
                <w:szCs w:val="24"/>
                <w:lang w:val="en-US" w:eastAsia="zh-CN"/>
              </w:rPr>
              <w:t>争创郑洛新国家自主创新示范区辐射区，打造豫西北地区科技创新高地，高新技术产业增加值增长13%</w:t>
            </w:r>
            <w:r>
              <w:rPr>
                <w:rFonts w:hint="eastAsia" w:asciiTheme="majorEastAsia" w:hAnsiTheme="majorEastAsia" w:eastAsiaTheme="majorEastAsia" w:cstheme="majorEastAsia"/>
                <w:snapToGrid w:val="0"/>
                <w:color w:val="000000"/>
                <w:kern w:val="32"/>
                <w:sz w:val="24"/>
                <w:szCs w:val="24"/>
                <w:lang w:val="en-US" w:eastAsia="zh-CN"/>
              </w:rPr>
              <w:t>以上</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科技局</w:t>
            </w:r>
          </w:p>
        </w:tc>
        <w:tc>
          <w:tcPr>
            <w:tcW w:w="5715" w:type="dxa"/>
            <w:vAlign w:val="center"/>
          </w:tcPr>
          <w:p>
            <w:pPr>
              <w:jc w:val="both"/>
              <w:rPr>
                <w:rFonts w:hint="default" w:asciiTheme="majorEastAsia" w:hAnsiTheme="majorEastAsia" w:eastAsiaTheme="majorEastAsia" w:cstheme="majorEastAsia"/>
                <w:snapToGrid w:val="0"/>
                <w:color w:val="000000"/>
                <w:kern w:val="32"/>
                <w:sz w:val="24"/>
                <w:szCs w:val="24"/>
                <w:lang w:val="zh-TW" w:eastAsia="zh-TW"/>
              </w:rPr>
            </w:pPr>
            <w:r>
              <w:rPr>
                <w:rFonts w:hint="eastAsia" w:asciiTheme="majorEastAsia" w:hAnsiTheme="majorEastAsia" w:eastAsiaTheme="majorEastAsia" w:cstheme="majorEastAsia"/>
                <w:snapToGrid w:val="0"/>
                <w:color w:val="000000"/>
                <w:kern w:val="32"/>
                <w:sz w:val="24"/>
                <w:szCs w:val="24"/>
                <w:lang w:val="en-US" w:eastAsia="zh-CN"/>
              </w:rPr>
              <w:t>1-5月份，高新技术产业增加值增长8.7%。</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21</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zh-TW" w:eastAsia="zh-TW"/>
              </w:rPr>
              <w:t>进一步培育创新主体</w:t>
            </w:r>
            <w:r>
              <w:rPr>
                <w:rFonts w:hint="default" w:asciiTheme="majorEastAsia" w:hAnsiTheme="majorEastAsia" w:eastAsiaTheme="majorEastAsia" w:cstheme="majorEastAsia"/>
                <w:snapToGrid w:val="0"/>
                <w:color w:val="000000"/>
                <w:kern w:val="32"/>
                <w:sz w:val="24"/>
                <w:szCs w:val="24"/>
                <w:lang w:val="zh-TW" w:eastAsia="zh-CN"/>
              </w:rPr>
              <w:t>。</w:t>
            </w:r>
            <w:r>
              <w:rPr>
                <w:rFonts w:hint="default" w:asciiTheme="majorEastAsia" w:hAnsiTheme="majorEastAsia" w:eastAsiaTheme="majorEastAsia" w:cstheme="majorEastAsia"/>
                <w:snapToGrid w:val="0"/>
                <w:color w:val="000000"/>
                <w:kern w:val="32"/>
                <w:sz w:val="24"/>
                <w:szCs w:val="24"/>
                <w:lang w:val="zh-TW" w:eastAsia="zh-TW"/>
              </w:rPr>
              <w:t>整合创新资源，在有色金属、装备制造、纳米杂化材料、</w:t>
            </w:r>
            <w:r>
              <w:rPr>
                <w:rFonts w:hint="eastAsia" w:asciiTheme="majorEastAsia" w:hAnsiTheme="majorEastAsia" w:eastAsiaTheme="majorEastAsia" w:cstheme="majorEastAsia"/>
                <w:snapToGrid w:val="0"/>
                <w:color w:val="000000"/>
                <w:kern w:val="32"/>
                <w:sz w:val="24"/>
                <w:szCs w:val="24"/>
                <w:lang w:val="zh-TW" w:eastAsia="zh-CN"/>
              </w:rPr>
              <w:t>生物医药、</w:t>
            </w:r>
            <w:r>
              <w:rPr>
                <w:rFonts w:hint="default" w:asciiTheme="majorEastAsia" w:hAnsiTheme="majorEastAsia" w:eastAsiaTheme="majorEastAsia" w:cstheme="majorEastAsia"/>
                <w:snapToGrid w:val="0"/>
                <w:color w:val="000000"/>
                <w:kern w:val="32"/>
                <w:sz w:val="24"/>
                <w:szCs w:val="24"/>
                <w:lang w:val="zh-TW" w:eastAsia="zh-TW"/>
              </w:rPr>
              <w:t>有机硒等产业领域，培育一批创新龙头企业，实施一批重大科技专项</w:t>
            </w:r>
            <w:r>
              <w:rPr>
                <w:rFonts w:hint="default" w:asciiTheme="majorEastAsia" w:hAnsiTheme="majorEastAsia" w:eastAsiaTheme="majorEastAsia" w:cstheme="majorEastAsia"/>
                <w:snapToGrid w:val="0"/>
                <w:color w:val="000000"/>
                <w:kern w:val="32"/>
                <w:sz w:val="24"/>
                <w:szCs w:val="24"/>
                <w:lang w:val="zh-TW" w:eastAsia="zh-CN"/>
              </w:rPr>
              <w:t>，</w:t>
            </w:r>
            <w:r>
              <w:rPr>
                <w:rFonts w:hint="default" w:asciiTheme="majorEastAsia" w:hAnsiTheme="majorEastAsia" w:eastAsiaTheme="majorEastAsia" w:cstheme="majorEastAsia"/>
                <w:snapToGrid w:val="0"/>
                <w:color w:val="000000"/>
                <w:kern w:val="32"/>
                <w:sz w:val="24"/>
                <w:szCs w:val="24"/>
                <w:lang w:val="en-US" w:eastAsia="zh-CN"/>
              </w:rPr>
              <w:t>到2018年底</w:t>
            </w:r>
            <w:r>
              <w:rPr>
                <w:rFonts w:hint="default" w:asciiTheme="majorEastAsia" w:hAnsiTheme="majorEastAsia" w:eastAsiaTheme="majorEastAsia" w:cstheme="majorEastAsia"/>
                <w:snapToGrid w:val="0"/>
                <w:color w:val="000000"/>
                <w:kern w:val="32"/>
                <w:sz w:val="24"/>
                <w:szCs w:val="24"/>
                <w:lang w:val="zh-TW" w:eastAsia="zh-TW"/>
              </w:rPr>
              <w:t>高新技术企业新增</w:t>
            </w:r>
            <w:r>
              <w:rPr>
                <w:rFonts w:hint="default" w:asciiTheme="majorEastAsia" w:hAnsiTheme="majorEastAsia" w:eastAsiaTheme="majorEastAsia" w:cstheme="majorEastAsia"/>
                <w:snapToGrid w:val="0"/>
                <w:color w:val="000000"/>
                <w:kern w:val="32"/>
                <w:sz w:val="24"/>
                <w:szCs w:val="24"/>
                <w:lang w:val="en-US" w:eastAsia="zh-CN"/>
              </w:rPr>
              <w:t>6</w:t>
            </w:r>
            <w:r>
              <w:rPr>
                <w:rFonts w:hint="default" w:asciiTheme="majorEastAsia" w:hAnsiTheme="majorEastAsia" w:eastAsiaTheme="majorEastAsia" w:cstheme="majorEastAsia"/>
                <w:snapToGrid w:val="0"/>
                <w:color w:val="000000"/>
                <w:kern w:val="32"/>
                <w:sz w:val="24"/>
                <w:szCs w:val="24"/>
                <w:lang w:val="zh-TW" w:eastAsia="zh-TW"/>
              </w:rPr>
              <w:t>家，总数突破25家</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科技局</w:t>
            </w:r>
          </w:p>
        </w:tc>
        <w:tc>
          <w:tcPr>
            <w:tcW w:w="5715" w:type="dxa"/>
            <w:vAlign w:val="center"/>
          </w:tcPr>
          <w:p>
            <w:pPr>
              <w:jc w:val="both"/>
              <w:rPr>
                <w:rFonts w:hint="default" w:asciiTheme="majorEastAsia" w:hAnsiTheme="majorEastAsia" w:eastAsiaTheme="majorEastAsia" w:cstheme="majorEastAsia"/>
                <w:snapToGrid w:val="0"/>
                <w:color w:val="000000"/>
                <w:kern w:val="32"/>
                <w:sz w:val="24"/>
                <w:szCs w:val="24"/>
                <w:lang w:val="zh-TW" w:eastAsia="zh-TW"/>
              </w:rPr>
            </w:pPr>
            <w:r>
              <w:rPr>
                <w:rFonts w:hint="eastAsia" w:asciiTheme="majorEastAsia" w:hAnsiTheme="majorEastAsia" w:eastAsiaTheme="majorEastAsia" w:cstheme="majorEastAsia"/>
                <w:snapToGrid w:val="0"/>
                <w:color w:val="000000"/>
                <w:kern w:val="32"/>
                <w:sz w:val="24"/>
                <w:szCs w:val="24"/>
                <w:lang w:val="en-US" w:eastAsia="zh-CN"/>
              </w:rPr>
              <w:t>立项支持济源市万洋绿色能源有限公司的“针式转子螺旋真空合膏及‘隧道’固化技术在动力电池极板生产中的应用研究及产业化”和河南龙兴钛业科技股份有限公司的“亚氧化钛新材料研发项目及产业化”两个项目实施市重大科技专项；今年第一批申报高新技术企业有5家，目前申报材料已上报省厅，等待评审。下半年预计有2家申报，全年完成新增6家以上。</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22</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zh-TW" w:eastAsia="zh-TW"/>
              </w:rPr>
              <w:t>加快</w:t>
            </w:r>
            <w:r>
              <w:rPr>
                <w:rFonts w:hint="default" w:asciiTheme="majorEastAsia" w:hAnsiTheme="majorEastAsia" w:eastAsiaTheme="majorEastAsia" w:cstheme="majorEastAsia"/>
                <w:snapToGrid w:val="0"/>
                <w:color w:val="000000"/>
                <w:kern w:val="32"/>
                <w:sz w:val="24"/>
                <w:szCs w:val="24"/>
                <w:lang w:val="en-US" w:eastAsia="zh-CN"/>
              </w:rPr>
              <w:t>创新平台</w:t>
            </w:r>
            <w:r>
              <w:rPr>
                <w:rFonts w:hint="default" w:asciiTheme="majorEastAsia" w:hAnsiTheme="majorEastAsia" w:eastAsiaTheme="majorEastAsia" w:cstheme="majorEastAsia"/>
                <w:snapToGrid w:val="0"/>
                <w:color w:val="000000"/>
                <w:kern w:val="32"/>
                <w:sz w:val="24"/>
                <w:szCs w:val="24"/>
                <w:lang w:val="zh-TW" w:eastAsia="zh-TW"/>
              </w:rPr>
              <w:t>建设</w:t>
            </w:r>
            <w:r>
              <w:rPr>
                <w:rFonts w:hint="default" w:asciiTheme="majorEastAsia" w:hAnsiTheme="majorEastAsia" w:eastAsiaTheme="majorEastAsia" w:cstheme="majorEastAsia"/>
                <w:snapToGrid w:val="0"/>
                <w:color w:val="000000"/>
                <w:kern w:val="32"/>
                <w:sz w:val="24"/>
                <w:szCs w:val="24"/>
                <w:lang w:val="zh-TW" w:eastAsia="zh-CN"/>
              </w:rPr>
              <w:t>。持续推进郑大济源研究院、河南大学纳米杂化材料、北京化工大学河南技术转移中心</w:t>
            </w:r>
            <w:r>
              <w:rPr>
                <w:rFonts w:hint="default" w:asciiTheme="majorEastAsia" w:hAnsiTheme="majorEastAsia" w:eastAsiaTheme="majorEastAsia" w:cstheme="majorEastAsia"/>
                <w:snapToGrid w:val="0"/>
                <w:color w:val="000000"/>
                <w:kern w:val="32"/>
                <w:sz w:val="24"/>
                <w:szCs w:val="24"/>
                <w:lang w:val="zh-TW" w:eastAsia="zh-TW"/>
              </w:rPr>
              <w:t>等科技成果转移转化机构</w:t>
            </w:r>
            <w:r>
              <w:rPr>
                <w:rFonts w:hint="default" w:asciiTheme="majorEastAsia" w:hAnsiTheme="majorEastAsia" w:eastAsiaTheme="majorEastAsia" w:cstheme="majorEastAsia"/>
                <w:snapToGrid w:val="0"/>
                <w:color w:val="000000"/>
                <w:kern w:val="32"/>
                <w:sz w:val="24"/>
                <w:szCs w:val="24"/>
                <w:lang w:val="zh-TW" w:eastAsia="zh-CN"/>
              </w:rPr>
              <w:t>建设</w:t>
            </w:r>
            <w:r>
              <w:rPr>
                <w:rFonts w:hint="default" w:asciiTheme="majorEastAsia" w:hAnsiTheme="majorEastAsia" w:eastAsiaTheme="majorEastAsia" w:cstheme="majorEastAsia"/>
                <w:snapToGrid w:val="0"/>
                <w:color w:val="000000"/>
                <w:kern w:val="32"/>
                <w:sz w:val="24"/>
                <w:szCs w:val="24"/>
                <w:lang w:val="zh-TW" w:eastAsia="zh-TW"/>
              </w:rPr>
              <w:t>，加速先进成果落地转化</w:t>
            </w:r>
            <w:r>
              <w:rPr>
                <w:rFonts w:hint="default" w:asciiTheme="majorEastAsia" w:hAnsiTheme="majorEastAsia" w:eastAsiaTheme="majorEastAsia" w:cstheme="majorEastAsia"/>
                <w:snapToGrid w:val="0"/>
                <w:color w:val="000000"/>
                <w:kern w:val="32"/>
                <w:sz w:val="24"/>
                <w:szCs w:val="24"/>
                <w:lang w:val="zh-TW" w:eastAsia="zh-CN"/>
              </w:rPr>
              <w:t>；</w:t>
            </w:r>
            <w:r>
              <w:rPr>
                <w:rFonts w:hint="default" w:asciiTheme="majorEastAsia" w:hAnsiTheme="majorEastAsia" w:eastAsiaTheme="majorEastAsia" w:cstheme="majorEastAsia"/>
                <w:snapToGrid w:val="0"/>
                <w:color w:val="000000"/>
                <w:kern w:val="32"/>
                <w:sz w:val="24"/>
                <w:szCs w:val="24"/>
                <w:lang w:val="zh-TW" w:eastAsia="zh-TW"/>
              </w:rPr>
              <w:t>依托济源科技大市场，打造科技服务云平台</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科技局</w:t>
            </w:r>
          </w:p>
        </w:tc>
        <w:tc>
          <w:tcPr>
            <w:tcW w:w="5715" w:type="dxa"/>
            <w:vAlign w:val="center"/>
          </w:tcPr>
          <w:p>
            <w:pPr>
              <w:jc w:val="both"/>
              <w:rPr>
                <w:rFonts w:hint="default" w:asciiTheme="majorEastAsia" w:hAnsiTheme="majorEastAsia" w:eastAsiaTheme="majorEastAsia" w:cstheme="majorEastAsia"/>
                <w:snapToGrid w:val="0"/>
                <w:color w:val="000000"/>
                <w:kern w:val="32"/>
                <w:sz w:val="24"/>
                <w:szCs w:val="24"/>
                <w:lang w:val="zh-TW" w:eastAsia="zh-TW"/>
              </w:rPr>
            </w:pPr>
            <w:r>
              <w:rPr>
                <w:rFonts w:hint="eastAsia" w:asciiTheme="majorEastAsia" w:hAnsiTheme="majorEastAsia" w:eastAsiaTheme="majorEastAsia" w:cstheme="majorEastAsia"/>
                <w:snapToGrid w:val="0"/>
                <w:color w:val="000000"/>
                <w:kern w:val="32"/>
                <w:sz w:val="24"/>
                <w:szCs w:val="24"/>
                <w:lang w:val="en-US" w:eastAsia="zh-CN"/>
              </w:rPr>
              <w:t>6月份拟定《河南大学</w:t>
            </w:r>
            <w:r>
              <w:rPr>
                <w:rFonts w:hint="default" w:asciiTheme="majorEastAsia" w:hAnsiTheme="majorEastAsia" w:eastAsiaTheme="majorEastAsia" w:cstheme="majorEastAsia"/>
                <w:snapToGrid w:val="0"/>
                <w:color w:val="000000"/>
                <w:kern w:val="32"/>
                <w:sz w:val="24"/>
                <w:szCs w:val="24"/>
                <w:lang w:val="en-US" w:eastAsia="zh-CN"/>
              </w:rPr>
              <w:t>  济源市人民政府  共建河南大学济源纳米材料产业园合作协议》初稿；与金马能源开展的“环己基苯合成及联产苯酚和环己酮关键技术路线小试开发”项目已经实质性投建；完成企业科技成果登记6项，完成技术市场交易额1900万元。</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23</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强化创新发展的机制保障。实施创新型人才培养工程，着力引进培养各类高层次科技创新人才、紧缺型人才和创新团队；加快产教</w:t>
            </w:r>
            <w:r>
              <w:rPr>
                <w:rFonts w:hint="eastAsia" w:asciiTheme="majorEastAsia" w:hAnsiTheme="majorEastAsia" w:eastAsiaTheme="majorEastAsia" w:cstheme="majorEastAsia"/>
                <w:snapToGrid w:val="0"/>
                <w:color w:val="000000"/>
                <w:kern w:val="32"/>
                <w:sz w:val="24"/>
                <w:szCs w:val="24"/>
                <w:lang w:val="en-US" w:eastAsia="zh-CN"/>
              </w:rPr>
              <w:t>融合</w:t>
            </w:r>
            <w:r>
              <w:rPr>
                <w:rFonts w:hint="default" w:asciiTheme="majorEastAsia" w:hAnsiTheme="majorEastAsia" w:eastAsiaTheme="majorEastAsia" w:cstheme="majorEastAsia"/>
                <w:snapToGrid w:val="0"/>
                <w:color w:val="000000"/>
                <w:kern w:val="32"/>
                <w:sz w:val="24"/>
                <w:szCs w:val="24"/>
                <w:lang w:val="en-US" w:eastAsia="zh-CN"/>
              </w:rPr>
              <w:t>，大力</w:t>
            </w:r>
            <w:r>
              <w:rPr>
                <w:rFonts w:hint="default" w:asciiTheme="majorEastAsia" w:hAnsiTheme="majorEastAsia" w:eastAsiaTheme="majorEastAsia" w:cstheme="majorEastAsia"/>
                <w:snapToGrid w:val="0"/>
                <w:color w:val="000000"/>
                <w:kern w:val="32"/>
                <w:sz w:val="24"/>
                <w:szCs w:val="24"/>
                <w:lang w:val="zh-TW" w:eastAsia="zh-CN"/>
              </w:rPr>
              <w:t>推动校企深度合作</w:t>
            </w:r>
            <w:r>
              <w:rPr>
                <w:rFonts w:hint="default" w:asciiTheme="majorEastAsia" w:hAnsiTheme="majorEastAsia" w:eastAsiaTheme="majorEastAsia" w:cstheme="majorEastAsia"/>
                <w:snapToGrid w:val="0"/>
                <w:color w:val="000000"/>
                <w:kern w:val="32"/>
                <w:sz w:val="24"/>
                <w:szCs w:val="24"/>
                <w:lang w:val="en-US" w:eastAsia="zh-CN"/>
              </w:rPr>
              <w:t>；</w:t>
            </w:r>
            <w:r>
              <w:rPr>
                <w:rFonts w:hint="default" w:asciiTheme="majorEastAsia" w:hAnsiTheme="majorEastAsia" w:eastAsiaTheme="majorEastAsia" w:cstheme="majorEastAsia"/>
                <w:snapToGrid w:val="0"/>
                <w:color w:val="000000"/>
                <w:kern w:val="32"/>
                <w:sz w:val="24"/>
                <w:szCs w:val="24"/>
                <w:lang w:val="zh-TW" w:eastAsia="zh-CN"/>
              </w:rPr>
              <w:t>推进科技金融融合，带动社会资本共同支持创新发展</w:t>
            </w:r>
          </w:p>
        </w:tc>
        <w:tc>
          <w:tcPr>
            <w:tcW w:w="1540" w:type="dxa"/>
            <w:vAlign w:val="center"/>
          </w:tcPr>
          <w:p>
            <w:pPr>
              <w:jc w:val="center"/>
              <w:rPr>
                <w:rFonts w:hint="eastAsia" w:eastAsiaTheme="minorEastAsia"/>
                <w:vertAlign w:val="baseline"/>
                <w:lang w:eastAsia="zh-CN"/>
              </w:rPr>
            </w:pPr>
            <w:r>
              <w:rPr>
                <w:rFonts w:hint="eastAsia" w:asciiTheme="majorEastAsia" w:hAnsiTheme="majorEastAsia" w:eastAsiaTheme="majorEastAsia" w:cstheme="majorEastAsia"/>
                <w:snapToGrid w:val="0"/>
                <w:color w:val="000000"/>
                <w:kern w:val="32"/>
                <w:sz w:val="24"/>
                <w:szCs w:val="24"/>
                <w:lang w:val="en-US" w:eastAsia="zh-CN"/>
              </w:rPr>
              <w:t>科技局</w:t>
            </w: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截止6月份，共征集高层次创新人才30名，梳理上报至省科技厅人才处22名，其中，院士4名，省级以上创新人才10名。推荐申报省科技创业领军人才2名，创业名称分别是“钛功能材料的生产及性能研究”和“中红外探测器研发”。支持“有机硒系列产品开发与推广”申报科技部科技创业领军人才项目。6月10日，开始征集济源市创新型科技团队；实施创新人才工程，开展济源市十佳科技创新人才评选和济源市创新型科技团队评优工作。</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837" w:type="dxa"/>
            <w:vAlign w:val="center"/>
          </w:tcPr>
          <w:p>
            <w:pPr>
              <w:jc w:val="both"/>
              <w:rPr>
                <w:rFonts w:hint="eastAsia" w:ascii="楷体_GB2312" w:hAnsi="楷体_GB2312" w:eastAsia="楷体_GB2312" w:cs="楷体_GB2312"/>
                <w:b/>
                <w:bCs/>
                <w:snapToGrid w:val="0"/>
                <w:color w:val="000000"/>
                <w:kern w:val="32"/>
                <w:sz w:val="24"/>
                <w:szCs w:val="24"/>
                <w:lang w:val="en-US" w:eastAsia="zh-CN"/>
              </w:rPr>
            </w:pPr>
            <w:r>
              <w:rPr>
                <w:rFonts w:hint="eastAsia" w:ascii="楷体_GB2312" w:hAnsi="楷体_GB2312" w:eastAsia="楷体_GB2312" w:cs="楷体_GB2312"/>
                <w:b/>
                <w:bCs/>
                <w:snapToGrid w:val="0"/>
                <w:color w:val="000000"/>
                <w:kern w:val="32"/>
                <w:sz w:val="24"/>
                <w:szCs w:val="24"/>
                <w:lang w:val="en-US" w:eastAsia="zh-CN"/>
              </w:rPr>
              <w:t>（三）</w:t>
            </w:r>
          </w:p>
        </w:tc>
        <w:tc>
          <w:tcPr>
            <w:tcW w:w="4860" w:type="dxa"/>
            <w:vAlign w:val="center"/>
          </w:tcPr>
          <w:p>
            <w:pPr>
              <w:jc w:val="both"/>
              <w:rPr>
                <w:rFonts w:hint="default" w:ascii="楷体_GB2312" w:hAnsi="楷体_GB2312" w:eastAsia="楷体_GB2312" w:cs="楷体_GB2312"/>
                <w:b/>
                <w:bCs/>
                <w:snapToGrid w:val="0"/>
                <w:color w:val="000000"/>
                <w:kern w:val="32"/>
                <w:sz w:val="24"/>
                <w:szCs w:val="24"/>
                <w:lang w:val="en-US" w:eastAsia="zh-CN"/>
              </w:rPr>
            </w:pPr>
            <w:r>
              <w:rPr>
                <w:rFonts w:hint="eastAsia" w:ascii="楷体_GB2312" w:hAnsi="楷体_GB2312" w:eastAsia="楷体_GB2312" w:cs="楷体_GB2312"/>
                <w:b/>
                <w:bCs/>
                <w:snapToGrid w:val="0"/>
                <w:color w:val="000000"/>
                <w:kern w:val="32"/>
                <w:sz w:val="24"/>
                <w:szCs w:val="24"/>
                <w:lang w:val="en-US" w:eastAsia="zh-CN"/>
              </w:rPr>
              <w:t>科学推进新型城镇化，着力促进城乡一体发展</w:t>
            </w:r>
          </w:p>
        </w:tc>
        <w:tc>
          <w:tcPr>
            <w:tcW w:w="1540" w:type="dxa"/>
            <w:vAlign w:val="top"/>
          </w:tcPr>
          <w:p>
            <w:pPr>
              <w:jc w:val="both"/>
              <w:rPr>
                <w:vertAlign w:val="baseline"/>
              </w:rPr>
            </w:pP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24</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加快国家产城融合示范区建设。突出产城融合、城乡一体，完善推进机制，以打造产城、产镇、产村三个层次样板为重点，制定年度工作要点，强化督导力度，确保完成年度目标任务</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发改委</w:t>
            </w: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default" w:asciiTheme="majorEastAsia" w:hAnsiTheme="majorEastAsia" w:eastAsiaTheme="majorEastAsia" w:cstheme="majorEastAsia"/>
                <w:snapToGrid w:val="0"/>
                <w:color w:val="000000"/>
                <w:kern w:val="32"/>
                <w:sz w:val="24"/>
                <w:szCs w:val="24"/>
                <w:lang w:val="en-US" w:eastAsia="zh-CN"/>
              </w:rPr>
              <w:t>常务副市长王惠民带队赴国家发改委就产城融合示范区推进进行了对接，并发函邀请地区司领导再次到济源进行调研指导，目前已完成汇报材料起草，PPT拿出初稿，近期将赴国家发改委就调研细节问题做进一步沟通；同时，建立了产城融合季度信息报送制度，围绕重大项目和重点改革事项及时向上反馈典型案例和先进经验做法，确保各项任务落到实处。</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25</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不断提高城乡规划设计水平。开展城乡总体规划修编工作，完善地下空间利用专项规划、城市双修专项规划，完成历史文化名城、名镇、名村保护规划，启动蟒河两岸、湨河两岸、城市出入口（高速路口等）重点区域城市设计，打造特色鲜明</w:t>
            </w:r>
            <w:r>
              <w:rPr>
                <w:rFonts w:hint="eastAsia" w:asciiTheme="majorEastAsia" w:hAnsiTheme="majorEastAsia" w:eastAsiaTheme="majorEastAsia" w:cstheme="majorEastAsia"/>
                <w:snapToGrid w:val="0"/>
                <w:color w:val="000000"/>
                <w:kern w:val="32"/>
                <w:sz w:val="24"/>
                <w:szCs w:val="24"/>
                <w:lang w:val="en-US" w:eastAsia="zh-CN"/>
              </w:rPr>
              <w:t>的</w:t>
            </w:r>
            <w:r>
              <w:rPr>
                <w:rFonts w:hint="default" w:asciiTheme="majorEastAsia" w:hAnsiTheme="majorEastAsia" w:eastAsiaTheme="majorEastAsia" w:cstheme="majorEastAsia"/>
                <w:snapToGrid w:val="0"/>
                <w:color w:val="000000"/>
                <w:kern w:val="32"/>
                <w:sz w:val="24"/>
                <w:szCs w:val="24"/>
                <w:lang w:val="en-US" w:eastAsia="zh-CN"/>
              </w:rPr>
              <w:t>城市名片</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规划局</w:t>
            </w:r>
          </w:p>
        </w:tc>
        <w:tc>
          <w:tcPr>
            <w:tcW w:w="5715" w:type="dxa"/>
          </w:tcPr>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default" w:asciiTheme="majorEastAsia" w:hAnsiTheme="majorEastAsia" w:eastAsiaTheme="majorEastAsia" w:cstheme="majorEastAsia"/>
                <w:snapToGrid w:val="0"/>
                <w:color w:val="000000"/>
                <w:kern w:val="32"/>
                <w:sz w:val="24"/>
                <w:szCs w:val="24"/>
                <w:lang w:val="en-US" w:eastAsia="zh-CN"/>
              </w:rPr>
              <w:t>1.总体规划修编：总体规划实施评估报告已报省住建厅，待住建厅组织专家论证。</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default" w:asciiTheme="majorEastAsia" w:hAnsiTheme="majorEastAsia" w:eastAsiaTheme="majorEastAsia" w:cstheme="majorEastAsia"/>
                <w:snapToGrid w:val="0"/>
                <w:color w:val="000000"/>
                <w:kern w:val="32"/>
                <w:sz w:val="24"/>
                <w:szCs w:val="24"/>
                <w:lang w:val="en-US" w:eastAsia="zh-CN"/>
              </w:rPr>
              <w:t>2.地下空间利用规划：已通过市规委会审议，并按市规委会意见修改完善，正在准备报批。</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default" w:asciiTheme="majorEastAsia" w:hAnsiTheme="majorEastAsia" w:eastAsiaTheme="majorEastAsia" w:cstheme="majorEastAsia"/>
                <w:snapToGrid w:val="0"/>
                <w:color w:val="000000"/>
                <w:kern w:val="32"/>
                <w:sz w:val="24"/>
                <w:szCs w:val="24"/>
                <w:lang w:val="en-US" w:eastAsia="zh-CN"/>
              </w:rPr>
              <w:t>3.城市双修规划：已完成初步方案，征求相关部门意见后将组织专家评审。</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default" w:asciiTheme="majorEastAsia" w:hAnsiTheme="majorEastAsia" w:eastAsiaTheme="majorEastAsia" w:cstheme="majorEastAsia"/>
                <w:snapToGrid w:val="0"/>
                <w:color w:val="000000"/>
                <w:kern w:val="32"/>
                <w:sz w:val="24"/>
                <w:szCs w:val="24"/>
                <w:lang w:val="en-US" w:eastAsia="zh-CN"/>
              </w:rPr>
              <w:t>4.历史文化名城、名镇、名村保护规划：已完成初步方案，正在征求相关部门意见。</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default" w:asciiTheme="majorEastAsia" w:hAnsiTheme="majorEastAsia" w:eastAsiaTheme="majorEastAsia" w:cstheme="majorEastAsia"/>
                <w:snapToGrid w:val="0"/>
                <w:color w:val="000000"/>
                <w:kern w:val="32"/>
                <w:sz w:val="24"/>
                <w:szCs w:val="24"/>
                <w:lang w:val="en-US" w:eastAsia="zh-CN"/>
              </w:rPr>
              <w:t>5.</w:t>
            </w:r>
            <w:r>
              <w:rPr>
                <w:rFonts w:hint="eastAsia" w:asciiTheme="majorEastAsia" w:hAnsiTheme="majorEastAsia" w:eastAsiaTheme="majorEastAsia" w:cstheme="majorEastAsia"/>
                <w:snapToGrid w:val="0"/>
                <w:color w:val="000000"/>
                <w:kern w:val="32"/>
                <w:sz w:val="24"/>
                <w:szCs w:val="24"/>
                <w:lang w:val="en-US" w:eastAsia="zh-CN"/>
              </w:rPr>
              <w:t>蟒河两岸、湨河两岸城市设计与市住建局开展的蟒河两岸、湨河两岸改造提升设计重合，不再开展。已开展王屋高速路口区域城市设计，现正在根据相关意见修改方案。</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26</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进一步提升城市品质。深入实施城市双修，启动济水西源和东源等综合治理，全面取消中心城区旱厕，全面消除城市黑臭水体</w:t>
            </w:r>
            <w:r>
              <w:rPr>
                <w:rFonts w:hint="eastAsia" w:asciiTheme="majorEastAsia" w:hAnsiTheme="majorEastAsia" w:eastAsiaTheme="majorEastAsia" w:cstheme="majorEastAsia"/>
                <w:snapToGrid w:val="0"/>
                <w:color w:val="000000"/>
                <w:kern w:val="32"/>
                <w:sz w:val="24"/>
                <w:szCs w:val="24"/>
                <w:lang w:val="en-US" w:eastAsia="zh-CN"/>
              </w:rPr>
              <w:t>；</w:t>
            </w:r>
            <w:r>
              <w:rPr>
                <w:rFonts w:hint="default" w:asciiTheme="majorEastAsia" w:hAnsiTheme="majorEastAsia" w:eastAsiaTheme="majorEastAsia" w:cstheme="majorEastAsia"/>
                <w:snapToGrid w:val="0"/>
                <w:color w:val="000000"/>
                <w:kern w:val="32"/>
                <w:sz w:val="24"/>
                <w:szCs w:val="24"/>
                <w:lang w:val="en-US" w:eastAsia="zh-CN"/>
              </w:rPr>
              <w:t>加快实施黄河路东连西延工程，打通济源大道、汤帝路、荆梁街等城市“断头路”，新改建</w:t>
            </w:r>
            <w:r>
              <w:rPr>
                <w:rFonts w:hint="eastAsia" w:asciiTheme="majorEastAsia" w:hAnsiTheme="majorEastAsia" w:eastAsiaTheme="majorEastAsia" w:cstheme="majorEastAsia"/>
                <w:snapToGrid w:val="0"/>
                <w:color w:val="000000"/>
                <w:kern w:val="32"/>
                <w:sz w:val="24"/>
                <w:szCs w:val="24"/>
                <w:lang w:val="en-US" w:eastAsia="zh-CN"/>
              </w:rPr>
              <w:t>城市</w:t>
            </w:r>
            <w:r>
              <w:rPr>
                <w:rFonts w:hint="default" w:asciiTheme="majorEastAsia" w:hAnsiTheme="majorEastAsia" w:eastAsiaTheme="majorEastAsia" w:cstheme="majorEastAsia"/>
                <w:snapToGrid w:val="0"/>
                <w:color w:val="000000"/>
                <w:kern w:val="32"/>
                <w:sz w:val="24"/>
                <w:szCs w:val="24"/>
                <w:lang w:val="en-US" w:eastAsia="zh-CN"/>
              </w:rPr>
              <w:t>道路20条；新</w:t>
            </w:r>
            <w:r>
              <w:rPr>
                <w:rFonts w:hint="eastAsia" w:asciiTheme="majorEastAsia" w:hAnsiTheme="majorEastAsia" w:eastAsiaTheme="majorEastAsia" w:cstheme="majorEastAsia"/>
                <w:snapToGrid w:val="0"/>
                <w:color w:val="000000"/>
                <w:kern w:val="32"/>
                <w:sz w:val="24"/>
                <w:szCs w:val="24"/>
                <w:lang w:val="en-US" w:eastAsia="zh-CN"/>
              </w:rPr>
              <w:t>改建市政</w:t>
            </w:r>
            <w:r>
              <w:rPr>
                <w:rFonts w:hint="default" w:asciiTheme="majorEastAsia" w:hAnsiTheme="majorEastAsia" w:eastAsiaTheme="majorEastAsia" w:cstheme="majorEastAsia"/>
                <w:snapToGrid w:val="0"/>
                <w:color w:val="000000"/>
                <w:kern w:val="32"/>
                <w:sz w:val="24"/>
                <w:szCs w:val="24"/>
                <w:lang w:val="en-US" w:eastAsia="zh-CN"/>
              </w:rPr>
              <w:t>管网</w:t>
            </w:r>
            <w:r>
              <w:rPr>
                <w:rFonts w:hint="eastAsia" w:asciiTheme="majorEastAsia" w:hAnsiTheme="majorEastAsia" w:eastAsiaTheme="majorEastAsia" w:cstheme="majorEastAsia"/>
                <w:snapToGrid w:val="0"/>
                <w:color w:val="000000"/>
                <w:kern w:val="32"/>
                <w:sz w:val="24"/>
                <w:szCs w:val="24"/>
                <w:lang w:val="en-US" w:eastAsia="zh-CN"/>
              </w:rPr>
              <w:t>80余公里</w:t>
            </w:r>
            <w:r>
              <w:rPr>
                <w:rFonts w:hint="default" w:asciiTheme="majorEastAsia" w:hAnsiTheme="majorEastAsia" w:eastAsiaTheme="majorEastAsia" w:cstheme="majorEastAsia"/>
                <w:snapToGrid w:val="0"/>
                <w:color w:val="000000"/>
                <w:kern w:val="32"/>
                <w:sz w:val="24"/>
                <w:szCs w:val="24"/>
                <w:lang w:val="en-US" w:eastAsia="zh-CN"/>
              </w:rPr>
              <w:t>，新建</w:t>
            </w:r>
            <w:r>
              <w:rPr>
                <w:rFonts w:hint="eastAsia" w:asciiTheme="majorEastAsia" w:hAnsiTheme="majorEastAsia" w:eastAsiaTheme="majorEastAsia" w:cstheme="majorEastAsia"/>
                <w:snapToGrid w:val="0"/>
                <w:color w:val="000000"/>
                <w:kern w:val="32"/>
                <w:sz w:val="24"/>
                <w:szCs w:val="24"/>
                <w:lang w:val="en-US" w:eastAsia="zh-CN"/>
              </w:rPr>
              <w:t>改建达标</w:t>
            </w:r>
            <w:r>
              <w:rPr>
                <w:rFonts w:hint="default" w:asciiTheme="majorEastAsia" w:hAnsiTheme="majorEastAsia" w:eastAsiaTheme="majorEastAsia" w:cstheme="majorEastAsia"/>
                <w:snapToGrid w:val="0"/>
                <w:color w:val="000000"/>
                <w:kern w:val="32"/>
                <w:sz w:val="24"/>
                <w:szCs w:val="24"/>
                <w:lang w:val="en-US" w:eastAsia="zh-CN"/>
              </w:rPr>
              <w:t>公厕</w:t>
            </w:r>
            <w:r>
              <w:rPr>
                <w:rFonts w:hint="eastAsia" w:asciiTheme="majorEastAsia" w:hAnsiTheme="majorEastAsia" w:eastAsiaTheme="majorEastAsia" w:cstheme="majorEastAsia"/>
                <w:snapToGrid w:val="0"/>
                <w:color w:val="000000"/>
                <w:kern w:val="32"/>
                <w:sz w:val="24"/>
                <w:szCs w:val="24"/>
                <w:lang w:val="en-US" w:eastAsia="zh-CN"/>
              </w:rPr>
              <w:t>40</w:t>
            </w:r>
            <w:r>
              <w:rPr>
                <w:rFonts w:hint="default" w:asciiTheme="majorEastAsia" w:hAnsiTheme="majorEastAsia" w:eastAsiaTheme="majorEastAsia" w:cstheme="majorEastAsia"/>
                <w:snapToGrid w:val="0"/>
                <w:color w:val="000000"/>
                <w:kern w:val="32"/>
                <w:sz w:val="24"/>
                <w:szCs w:val="24"/>
                <w:lang w:val="en-US" w:eastAsia="zh-CN"/>
              </w:rPr>
              <w:t>座；加快济渎庙、龙潭寺等重点区域改造，启动济水源文化小镇建设，第三水厂正式运行；加强城市中心区、老城区</w:t>
            </w:r>
            <w:r>
              <w:rPr>
                <w:rFonts w:hint="eastAsia" w:asciiTheme="majorEastAsia" w:hAnsiTheme="majorEastAsia" w:eastAsiaTheme="majorEastAsia" w:cstheme="majorEastAsia"/>
                <w:snapToGrid w:val="0"/>
                <w:color w:val="000000"/>
                <w:kern w:val="32"/>
                <w:sz w:val="24"/>
                <w:szCs w:val="24"/>
                <w:lang w:val="en-US" w:eastAsia="zh-CN"/>
              </w:rPr>
              <w:t>、</w:t>
            </w:r>
            <w:r>
              <w:rPr>
                <w:rFonts w:hint="default" w:asciiTheme="majorEastAsia" w:hAnsiTheme="majorEastAsia" w:eastAsiaTheme="majorEastAsia" w:cstheme="majorEastAsia"/>
                <w:snapToGrid w:val="0"/>
                <w:color w:val="000000"/>
                <w:kern w:val="32"/>
                <w:sz w:val="24"/>
                <w:szCs w:val="24"/>
                <w:lang w:val="en-US" w:eastAsia="zh-CN"/>
              </w:rPr>
              <w:t>园林绿化建设提升，进一步增强承载力和带动力</w:t>
            </w:r>
          </w:p>
        </w:tc>
        <w:tc>
          <w:tcPr>
            <w:tcW w:w="1540"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住建局</w:t>
            </w:r>
          </w:p>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交通局</w:t>
            </w: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黑臭水体：苇泉河综合整治已完成，正在对全市黑臭水体进行排查。2018年拟对北蟒河、湨河进行综合治理改造提升，总投资约</w:t>
            </w:r>
            <w:r>
              <w:rPr>
                <w:rFonts w:hint="default" w:asciiTheme="majorEastAsia" w:hAnsiTheme="majorEastAsia" w:eastAsiaTheme="majorEastAsia" w:cstheme="majorEastAsia"/>
                <w:snapToGrid w:val="0"/>
                <w:color w:val="000000"/>
                <w:kern w:val="32"/>
                <w:sz w:val="24"/>
                <w:szCs w:val="24"/>
                <w:lang w:val="en-US" w:eastAsia="zh-CN"/>
              </w:rPr>
              <w:t>4.4亿元。目前正在</w:t>
            </w:r>
            <w:r>
              <w:rPr>
                <w:rFonts w:hint="eastAsia" w:asciiTheme="majorEastAsia" w:hAnsiTheme="majorEastAsia" w:eastAsiaTheme="majorEastAsia" w:cstheme="majorEastAsia"/>
                <w:snapToGrid w:val="0"/>
                <w:color w:val="000000"/>
                <w:kern w:val="32"/>
                <w:sz w:val="24"/>
                <w:szCs w:val="24"/>
                <w:lang w:val="en-US" w:eastAsia="zh-CN"/>
              </w:rPr>
              <w:t>进行方案设计，8月份开工。</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道路建设：汤帝桥梁完成</w:t>
            </w:r>
            <w:r>
              <w:rPr>
                <w:rFonts w:hint="default" w:asciiTheme="majorEastAsia" w:hAnsiTheme="majorEastAsia" w:eastAsiaTheme="majorEastAsia" w:cstheme="majorEastAsia"/>
                <w:snapToGrid w:val="0"/>
                <w:color w:val="000000"/>
                <w:kern w:val="32"/>
                <w:sz w:val="24"/>
                <w:szCs w:val="24"/>
                <w:lang w:val="en-US" w:eastAsia="zh-CN"/>
              </w:rPr>
              <w:t>90%，</w:t>
            </w:r>
            <w:r>
              <w:rPr>
                <w:rFonts w:hint="eastAsia" w:asciiTheme="majorEastAsia" w:hAnsiTheme="majorEastAsia" w:eastAsiaTheme="majorEastAsia" w:cstheme="majorEastAsia"/>
                <w:snapToGrid w:val="0"/>
                <w:color w:val="000000"/>
                <w:kern w:val="32"/>
                <w:sz w:val="24"/>
                <w:szCs w:val="24"/>
                <w:lang w:val="en-US" w:eastAsia="zh-CN"/>
              </w:rPr>
              <w:t>汤帝路建设年底完成；荆梁桥梁完成95%，道路建设年底完成；壹号城邦北侧路、玉川街东延完成设计招标，正在进行标底评审；南环、西环路苗木移植完成，目前南环改造已开工，正在对沁园路至文昌路段进行路面破除，西环路即将开工建设；青洛河路、经一路北延、愚公路东侧规划路、河苑街东延、荆梁南路、文化路、丰田路改造等正在办理前期手续。</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公厕建设：首批新建5座、改造34座已完成设计招标，正在进行设计及选址。其余11座市财政已初步确定预算，待人大常委会批准。</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园林绿化：已投资</w:t>
            </w:r>
            <w:r>
              <w:rPr>
                <w:rFonts w:hint="default" w:asciiTheme="majorEastAsia" w:hAnsiTheme="majorEastAsia" w:eastAsiaTheme="majorEastAsia" w:cstheme="majorEastAsia"/>
                <w:snapToGrid w:val="0"/>
                <w:color w:val="000000"/>
                <w:kern w:val="32"/>
                <w:sz w:val="24"/>
                <w:szCs w:val="24"/>
                <w:lang w:val="en-US" w:eastAsia="zh-CN"/>
              </w:rPr>
              <w:t>250万元</w:t>
            </w:r>
            <w:r>
              <w:rPr>
                <w:rFonts w:hint="eastAsia" w:asciiTheme="majorEastAsia" w:hAnsiTheme="majorEastAsia" w:eastAsiaTheme="majorEastAsia" w:cstheme="majorEastAsia"/>
                <w:snapToGrid w:val="0"/>
                <w:color w:val="000000"/>
                <w:kern w:val="32"/>
                <w:sz w:val="24"/>
                <w:szCs w:val="24"/>
                <w:lang w:val="en-US" w:eastAsia="zh-CN"/>
              </w:rPr>
              <w:t>，完成惠渎园（六交口东南角）、机械厂园（六交口西北角）、天坛南北园、航海园等改造提升。</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管网建设：已完成新、改建市政管网28.1公里；其中燃气管网23.1公里，供暖管网1.6公里，污水管网3.6公里。</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第三水厂：厂区和设备安装已完成，泵站正在施工，管网全长20.7公里，已完成19.9公里，剩余约800米。</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黄河路东连工程：截止目前，全线清表已完成，雨、污管网铺设已完成；路基土石方累计填筑162000立方米，占总数的83%；蟒河大桥下部结构全部完成，桥板预制263片，占总数的84%，桥板吊装完成66%，桥面铺装完成33%；干沟河桩基全部完成，盖梁完成两条占33%。</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黄河路西延工程：计划2018年完成项目前期立项批复工作，力争年底前开工建设。</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济源大道西延项目：项目招投标已完成，施工、监理合同已签订，施工单位已做好进场准备；道路全线需拆迁民房73座，已签订协议65户，已搬家65户，已拆除民房38座。已搬家区域的燃气、自来水封堵、有限电视线路改造已全部完成，高低压线路正在改造，待改造结束后，全面进行房屋拆除；燃气主管道、富士康供水专线、移动、联通通信线路迁改方案已确定，施工预算已编制完成，目前正在审核；河西10KV高压电力线财政局评审中心已审核，目前正在签订合同；国土局土地组卷所需资料已全部报至国土局。</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27</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提升城市管理水平。落实城市管理主体责任，整合住建、公安、交通、规划、卫生、工商、环保等执法力量，强化综合执法；扎实开展城市创建，持续提升城市文明水平，努力在提升城市品位上树立新标杆</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住建局</w:t>
            </w: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综合执法改革：关于深入推进城市综合执法体制改革改进城市管理工作的实施方案，已上报市政府但未通过，现等待市政府做下一步安排。</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城市创建：围绕文明城市整治提升工作，梳理、排查城市管理及背街小巷精细化管理存在问题，及时整改到位；每周五下午组织志愿者开展城市创建工作。持续提升城市精细化管理水平，4月份以来，共填补坑槽541处，道路维修5577平方米，更换井盖45个；整治黄土裸露 14万平方米，栽植苗木6121棵，清理枯枝落叶7308立方米，实施喷灌降尘256.78万平方米，维修灯具、健身器材 200余处，维修园路、广场2400余平方米。</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837"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28</w:t>
            </w:r>
          </w:p>
        </w:tc>
        <w:tc>
          <w:tcPr>
            <w:tcW w:w="4860" w:type="dxa"/>
            <w:vAlign w:val="center"/>
          </w:tcPr>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树立经营城市理念。强化城市土地储备，清理、整治和盘活闲置土地和低效用地，确保有限的土地资源保值增值、增加有效供给；运用市场运作模式确保城市公益性、经营性设施保值增值；把经营城市的原则贯穿到城市规划、建设、管理全过程，探索市场主导的城市建设投资模式</w:t>
            </w:r>
          </w:p>
        </w:tc>
        <w:tc>
          <w:tcPr>
            <w:tcW w:w="1540"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国土局</w:t>
            </w:r>
          </w:p>
        </w:tc>
        <w:tc>
          <w:tcPr>
            <w:tcW w:w="5715" w:type="dxa"/>
            <w:vAlign w:val="center"/>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上半年共完成土地收储2113.756亩，其中，划拨土地2宗101亩；协议出让2宗39.9亩，出让价款1447.19万元，招拍挂土地10宗497.4亩，出让价款6.80831亿元。积极与市财政部门沟通协调，申请拨付土地收储资金1亿元。正在申请土地收储专项债券资金，切实保障应收尽收，增加土地有效供给。</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37" w:type="dxa"/>
            <w:vAlign w:val="center"/>
          </w:tcPr>
          <w:p>
            <w:pPr>
              <w:jc w:val="center"/>
              <w:rPr>
                <w:rFonts w:hint="eastAsia" w:eastAsiaTheme="minorEastAsia"/>
                <w:vertAlign w:val="baseline"/>
                <w:lang w:val="en-US" w:eastAsia="zh-CN"/>
              </w:rPr>
            </w:pPr>
            <w:r>
              <w:rPr>
                <w:rFonts w:hint="eastAsia" w:asciiTheme="majorEastAsia" w:hAnsiTheme="majorEastAsia" w:eastAsiaTheme="majorEastAsia" w:cstheme="majorEastAsia"/>
                <w:snapToGrid w:val="0"/>
                <w:color w:val="000000"/>
                <w:kern w:val="32"/>
                <w:sz w:val="24"/>
                <w:szCs w:val="24"/>
                <w:lang w:val="en-US" w:eastAsia="zh-CN"/>
              </w:rPr>
              <w:t>29</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加快小城镇建设。突出功能特色、产业特色、地理特色，推动城镇特色发展、错位发展</w:t>
            </w:r>
            <w:r>
              <w:rPr>
                <w:rFonts w:hint="eastAsia" w:asciiTheme="majorEastAsia" w:hAnsiTheme="majorEastAsia" w:eastAsiaTheme="majorEastAsia" w:cstheme="majorEastAsia"/>
                <w:snapToGrid w:val="0"/>
                <w:color w:val="000000"/>
                <w:kern w:val="32"/>
                <w:sz w:val="24"/>
                <w:szCs w:val="24"/>
                <w:lang w:val="en-US" w:eastAsia="zh-CN"/>
              </w:rPr>
              <w:t>。</w:t>
            </w:r>
            <w:r>
              <w:rPr>
                <w:rFonts w:hint="default" w:asciiTheme="majorEastAsia" w:hAnsiTheme="majorEastAsia" w:eastAsiaTheme="majorEastAsia" w:cstheme="majorEastAsia"/>
                <w:snapToGrid w:val="0"/>
                <w:color w:val="000000"/>
                <w:kern w:val="32"/>
                <w:sz w:val="24"/>
                <w:szCs w:val="24"/>
                <w:lang w:val="en-US" w:eastAsia="zh-CN"/>
              </w:rPr>
              <w:t>统筹实施镇区水、电、气、暖、污水处理等项目建设，加快玉川污水处理厂、小浪底北岸新区污水处理厂等公用设施建设，推进有条件的新型农村社区建设供热、供气工程</w:t>
            </w:r>
            <w:r>
              <w:rPr>
                <w:rFonts w:hint="eastAsia" w:asciiTheme="majorEastAsia" w:hAnsiTheme="majorEastAsia" w:eastAsiaTheme="majorEastAsia" w:cstheme="majorEastAsia"/>
                <w:snapToGrid w:val="0"/>
                <w:color w:val="000000"/>
                <w:kern w:val="32"/>
                <w:sz w:val="24"/>
                <w:szCs w:val="24"/>
                <w:lang w:val="en-US" w:eastAsia="zh-CN"/>
              </w:rPr>
              <w:t>，</w:t>
            </w:r>
            <w:r>
              <w:rPr>
                <w:rFonts w:hint="eastAsia" w:asciiTheme="majorEastAsia" w:hAnsiTheme="majorEastAsia" w:eastAsiaTheme="majorEastAsia" w:cstheme="majorEastAsia"/>
                <w:snapToGrid w:val="0"/>
                <w:color w:val="000000"/>
                <w:kern w:val="32"/>
                <w:sz w:val="24"/>
                <w:szCs w:val="24"/>
                <w:lang w:val="zh-TW" w:eastAsia="zh-CN"/>
              </w:rPr>
              <w:t>形成中心城区与小城镇功能互补、分工明确、联系密切的城镇体系</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住建局</w:t>
            </w:r>
          </w:p>
        </w:tc>
        <w:tc>
          <w:tcPr>
            <w:tcW w:w="5715" w:type="dxa"/>
            <w:vAlign w:val="center"/>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积极做好思礼镇申报国家级特色小镇申报，正在完善相关资料；加快天然气管网建设，除邵原镇供气站正在规划外，其余已全部覆盖；2018年计划开工建设35个行政村污水管网和场站建设，目前19个村污水管网建设已开工。</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837" w:type="dxa"/>
            <w:vAlign w:val="center"/>
          </w:tcPr>
          <w:p>
            <w:pPr>
              <w:jc w:val="both"/>
              <w:rPr>
                <w:rFonts w:hint="eastAsia" w:ascii="楷体_GB2312" w:hAnsi="楷体_GB2312" w:eastAsia="楷体_GB2312" w:cs="楷体_GB2312"/>
                <w:b/>
                <w:bCs/>
                <w:snapToGrid w:val="0"/>
                <w:color w:val="000000"/>
                <w:kern w:val="32"/>
                <w:sz w:val="24"/>
                <w:szCs w:val="24"/>
                <w:lang w:val="en-US" w:eastAsia="zh-CN"/>
              </w:rPr>
            </w:pPr>
            <w:r>
              <w:rPr>
                <w:rFonts w:hint="eastAsia" w:ascii="楷体_GB2312" w:hAnsi="楷体_GB2312" w:eastAsia="楷体_GB2312" w:cs="楷体_GB2312"/>
                <w:b/>
                <w:bCs/>
                <w:snapToGrid w:val="0"/>
                <w:color w:val="000000"/>
                <w:kern w:val="32"/>
                <w:sz w:val="24"/>
                <w:szCs w:val="24"/>
                <w:lang w:val="en-US" w:eastAsia="zh-CN"/>
              </w:rPr>
              <w:t>（四）</w:t>
            </w:r>
          </w:p>
        </w:tc>
        <w:tc>
          <w:tcPr>
            <w:tcW w:w="4860" w:type="dxa"/>
            <w:vAlign w:val="center"/>
          </w:tcPr>
          <w:p>
            <w:pPr>
              <w:jc w:val="both"/>
              <w:rPr>
                <w:rFonts w:hint="default" w:ascii="楷体_GB2312" w:hAnsi="楷体_GB2312" w:eastAsia="楷体_GB2312" w:cs="楷体_GB2312"/>
                <w:b/>
                <w:bCs/>
                <w:snapToGrid w:val="0"/>
                <w:color w:val="000000"/>
                <w:kern w:val="32"/>
                <w:sz w:val="24"/>
                <w:szCs w:val="24"/>
                <w:lang w:val="en-US" w:eastAsia="zh-CN"/>
              </w:rPr>
            </w:pPr>
            <w:r>
              <w:rPr>
                <w:rFonts w:hint="eastAsia" w:ascii="楷体_GB2312" w:hAnsi="楷体_GB2312" w:eastAsia="楷体_GB2312" w:cs="楷体_GB2312"/>
                <w:b/>
                <w:bCs/>
                <w:snapToGrid w:val="0"/>
                <w:color w:val="000000"/>
                <w:kern w:val="32"/>
                <w:sz w:val="24"/>
                <w:szCs w:val="24"/>
                <w:lang w:val="en-US" w:eastAsia="zh-CN"/>
              </w:rPr>
              <w:t>积极实施乡村振兴战略，激发农业农村经济活力</w:t>
            </w:r>
          </w:p>
        </w:tc>
        <w:tc>
          <w:tcPr>
            <w:tcW w:w="1540" w:type="dxa"/>
            <w:vAlign w:val="center"/>
          </w:tcPr>
          <w:p>
            <w:pPr>
              <w:jc w:val="center"/>
              <w:rPr>
                <w:vertAlign w:val="baseline"/>
              </w:rPr>
            </w:pP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30</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制定乡村振兴战略规划。</w:t>
            </w:r>
            <w:r>
              <w:rPr>
                <w:rFonts w:hint="default" w:asciiTheme="majorEastAsia" w:hAnsiTheme="majorEastAsia" w:eastAsiaTheme="majorEastAsia" w:cstheme="majorEastAsia"/>
                <w:snapToGrid w:val="0"/>
                <w:color w:val="000000"/>
                <w:kern w:val="32"/>
                <w:sz w:val="24"/>
                <w:szCs w:val="24"/>
                <w:lang w:val="en-US" w:eastAsia="zh-CN"/>
              </w:rPr>
              <w:t>坚持农业农村优先发展，按照“产业兴旺、生态宜居、乡风文明、治理有效、生活富裕”的要求，研究制定乡村振兴战略规划，加快推进农业农村现代化</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发改委</w:t>
            </w:r>
          </w:p>
        </w:tc>
        <w:tc>
          <w:tcPr>
            <w:tcW w:w="5715" w:type="dxa"/>
          </w:tcPr>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印发了《关于成立乡村振兴规划编制工作领导小组的通知》，成立乡村振兴规划编制领导小组，正式启动编制工作。与周边洛阳、焦作市县进行对接，结合兄弟市县的特色亮点，融合我市的规划编制工作。与省农业大学经贸学院、河南农业现代规划设计院、北京方恒基业有限公司等第三方机构进行了对接。现已向市政府请示申请资金，由第三方承接规划编制工作。</w:t>
            </w:r>
          </w:p>
        </w:tc>
        <w:tc>
          <w:tcPr>
            <w:tcW w:w="968" w:type="dxa"/>
          </w:tcPr>
          <w:p>
            <w:pPr>
              <w:jc w:val="both"/>
              <w:rPr>
                <w:rFonts w:hint="default" w:asciiTheme="majorEastAsia" w:hAnsiTheme="majorEastAsia" w:eastAsiaTheme="majorEastAsia" w:cstheme="majorEastAsia"/>
                <w:snapToGrid w:val="0"/>
                <w:color w:val="000000"/>
                <w:kern w:val="3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31</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构建现代农业产业体系。实施高效种养业产业攻坚，立足优质粮食、高效园艺、生态养殖、现代种业、休闲观光等产业，加快种养业结构调整，确保优质小麦种植面积达到10万亩，奶牛饲养量突破1万头，新增蔬菜制种面积2000亩</w:t>
            </w:r>
            <w:r>
              <w:rPr>
                <w:rFonts w:hint="eastAsia" w:asciiTheme="majorEastAsia" w:hAnsiTheme="majorEastAsia" w:eastAsiaTheme="majorEastAsia" w:cstheme="majorEastAsia"/>
                <w:snapToGrid w:val="0"/>
                <w:color w:val="000000"/>
                <w:kern w:val="32"/>
                <w:sz w:val="24"/>
                <w:szCs w:val="24"/>
                <w:lang w:val="en-US" w:eastAsia="zh-CN"/>
              </w:rPr>
              <w:t>；</w:t>
            </w:r>
            <w:r>
              <w:rPr>
                <w:rFonts w:hint="default" w:asciiTheme="majorEastAsia" w:hAnsiTheme="majorEastAsia" w:eastAsiaTheme="majorEastAsia" w:cstheme="majorEastAsia"/>
                <w:snapToGrid w:val="0"/>
                <w:color w:val="000000"/>
                <w:kern w:val="32"/>
                <w:sz w:val="24"/>
                <w:szCs w:val="24"/>
                <w:lang w:val="en-US" w:eastAsia="zh-CN"/>
              </w:rPr>
              <w:t>加快农业功能区调整，加强污染土地治理，创建农产品质量安全示范市</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农牧局</w:t>
            </w:r>
          </w:p>
        </w:tc>
        <w:tc>
          <w:tcPr>
            <w:tcW w:w="5715" w:type="dxa"/>
            <w:vAlign w:val="top"/>
          </w:tcPr>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印发了《济源市人民政府办公室关于印发济源市高效种养业和农产品加工业转型升级行动方案（2018—2020年）的通知》。济源市被农业部认定为国家第一批区域性蔬菜良种繁育基地，全省唯一；特色产业专业村达68个，目前正在争取2018-2019绿色高质高效创建县项目，申报材料已报到省农业厅，有望得到批复。制定了《济源市粮食生产功能区划定工作方案》，成立了领导小组和办公室，建立了联系会议制度，将粮食生产功能区划定任务分解到镇、村，召开了工作启动暨培训会议。按照政府采购竞争性谈判方式确定了测绘单位，完成了全市20万亩粮食生产功能区划定任务图上作业工作。2018年6月中旬，省政府组织对“两区”划定工作进行全面督导，我市位列第二名。对包括“瘦肉精”、生鲜乳违禁物、兽用抗菌药、生猪屠宰监管、畜牧业投入品打假、禽蛋质量安全六项全年专项整治工作进行全面安排部署。组织开展畜产品质量安全风险排查2次，对全市8个规模奶牛场、奶站，8个运输车辆，19个奶畜散养户进行了风险排查；组织开展了瘦肉精与兽药残留第二阶段风险检测，对养殖场户活畜尿样和鲜鸡蛋开展质量抽检。协调开展了生鲜乳第三方检查工作，配合省局奶办在济源举办了第三方检测现场会。</w:t>
            </w:r>
          </w:p>
        </w:tc>
        <w:tc>
          <w:tcPr>
            <w:tcW w:w="968" w:type="dxa"/>
          </w:tcPr>
          <w:p>
            <w:pPr>
              <w:jc w:val="both"/>
              <w:rPr>
                <w:rFonts w:hint="default" w:asciiTheme="majorEastAsia" w:hAnsiTheme="majorEastAsia" w:eastAsiaTheme="majorEastAsia" w:cstheme="majorEastAsia"/>
                <w:snapToGrid w:val="0"/>
                <w:color w:val="000000"/>
                <w:kern w:val="3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32</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推动农村一二三产业融合发展。以梨林特色产业园、玉泉特色产业园为载体，依托伊利、双汇等龙头企业，加大8个农业产业化集群发展；进一步拓展农业功能，提高休闲观光农业建设标准和发展质量；探索开展特色农产品保险，推行e农险“闪赔”模式</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农牧局</w:t>
            </w:r>
          </w:p>
        </w:tc>
        <w:tc>
          <w:tcPr>
            <w:tcW w:w="5715" w:type="dxa"/>
          </w:tcPr>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1.根据省厅有关精神，在全省产业集群的基础上培育和认定一批农业产业化联合体项目，下一步我市将围绕5个省级产业集群培育和申报省级产业化联合体。</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2.组织举办首届“阳光杯”休闲农业创意大赛、开展休闲农业示范园区评选认定、开展第二届休闲农业创意大赛暨贫困村特色农产品评选活动和休闲农业精品线路推介活动，印发《济源市休闲农业导游图》，大力宣传休闲农业成果，提高知名度和影响力，吸引周边居民到乡村休闲消费。</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3.积极探索开展蔬菜制种保险，推进农业保险扩面、增品、提标。目前全市开展的蔬菜制种保险包括白菜、萝卜、甘蓝、洋葱、大葱制种5个品种11个镇，共计承保6277户15321.86亩，总保费1405930.2元，已收到农户自交保费421779.06元。其中，涉及贫困户蔬菜制种保险150户332.9亩，总保费30865.5元。4月7日的低温冻害，5月1日的冰雹灾害，给蔬菜制种户造成了极大的损失，中原农险公司迅速成立理赔小组，联合种子协会和农业专家，集中下乡对制种户受损情况进行查勘，截止目前，已接到制种户报案170起，预估损失金额200万元，赔付170万元左右。在梨林镇、邵原镇试点开展育肥猪e农险“闪赔”模式，预计承保育肥猪10万头。</w:t>
            </w:r>
          </w:p>
        </w:tc>
        <w:tc>
          <w:tcPr>
            <w:tcW w:w="968" w:type="dxa"/>
          </w:tcPr>
          <w:p>
            <w:pPr>
              <w:jc w:val="both"/>
              <w:rPr>
                <w:rFonts w:hint="default" w:asciiTheme="majorEastAsia" w:hAnsiTheme="majorEastAsia" w:eastAsiaTheme="majorEastAsia" w:cstheme="majorEastAsia"/>
                <w:snapToGrid w:val="0"/>
                <w:color w:val="000000"/>
                <w:kern w:val="3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33</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着力深化农村改革。全面完成农村承包地确权登记颁证任务，探索“三权”分置具体路径和办法；深化农村集体产权制度改革，探索集体资产股份有偿退出及抵押、担保、继承等权能实现形式</w:t>
            </w:r>
            <w:r>
              <w:rPr>
                <w:rFonts w:hint="eastAsia" w:asciiTheme="majorEastAsia" w:hAnsiTheme="majorEastAsia" w:eastAsiaTheme="majorEastAsia" w:cstheme="majorEastAsia"/>
                <w:snapToGrid w:val="0"/>
                <w:color w:val="000000"/>
                <w:kern w:val="32"/>
                <w:sz w:val="24"/>
                <w:szCs w:val="24"/>
                <w:lang w:val="en-US" w:eastAsia="zh-CN"/>
              </w:rPr>
              <w:t>；积极</w:t>
            </w:r>
            <w:r>
              <w:rPr>
                <w:rFonts w:hint="default" w:asciiTheme="majorEastAsia" w:hAnsiTheme="majorEastAsia" w:eastAsiaTheme="majorEastAsia" w:cstheme="majorEastAsia"/>
                <w:snapToGrid w:val="0"/>
                <w:color w:val="000000"/>
                <w:kern w:val="32"/>
                <w:sz w:val="24"/>
                <w:szCs w:val="24"/>
                <w:lang w:val="en-US" w:eastAsia="zh-CN"/>
              </w:rPr>
              <w:t>培育新型农业经营主体，引导土地经营权规范有序流转，促进土地适度规模经营，构建现代农业生产体系、经营体系</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市委农办</w:t>
            </w:r>
          </w:p>
        </w:tc>
        <w:tc>
          <w:tcPr>
            <w:tcW w:w="5715" w:type="dxa"/>
          </w:tcPr>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1.印发《关于做好农村承包地确权登记颁证后续工作的紧急通知》，积极推动证书、合同修误、遗留疑难问题推进等后续工作；组织档案移交培训班。</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2.出台《济源市2018年农村土地所有权承包权经营权分置试点工作方案》，梨林镇、五龙口镇开展探索。</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3.市委农办、市农牧局等十家单位联合印发《济源市农村集体资产清产核资实施方案》，已召开清产核资工作会安排部署，并于6月中旬举办清产核资培训班。</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4.开展新型农业经营主体专题调研，形成调研报告，正在起草《加快构建政策体系 培育新型农业经营主体的实施意见》。</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5.深化农村集体产权制度改革，研究出台《济源市贫困村集体经济增收三年专项行动方案》。进一步壮大贫困村集体经济。</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34</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持续推进美丽乡村建设。进一步加大示范村、精品特色村、人居环境达标村打造力度，加强传统村落民居和历史文化名村名镇保护，统筹推进农村污水垃圾处理设施建设，完善农村公共服务体系，全年创建达标村</w:t>
            </w:r>
            <w:r>
              <w:rPr>
                <w:rFonts w:hint="eastAsia" w:asciiTheme="majorEastAsia" w:hAnsiTheme="majorEastAsia" w:eastAsiaTheme="majorEastAsia" w:cstheme="majorEastAsia"/>
                <w:snapToGrid w:val="0"/>
                <w:color w:val="000000"/>
                <w:kern w:val="32"/>
                <w:sz w:val="24"/>
                <w:szCs w:val="24"/>
                <w:lang w:val="en-US" w:eastAsia="zh-CN"/>
              </w:rPr>
              <w:t>93</w:t>
            </w:r>
            <w:r>
              <w:rPr>
                <w:rFonts w:hint="default" w:asciiTheme="majorEastAsia" w:hAnsiTheme="majorEastAsia" w:eastAsiaTheme="majorEastAsia" w:cstheme="majorEastAsia"/>
                <w:snapToGrid w:val="0"/>
                <w:color w:val="000000"/>
                <w:kern w:val="32"/>
                <w:sz w:val="24"/>
                <w:szCs w:val="24"/>
                <w:lang w:val="en-US" w:eastAsia="zh-CN"/>
              </w:rPr>
              <w:t>个、示范村48个、示范镇2个</w:t>
            </w:r>
          </w:p>
        </w:tc>
        <w:tc>
          <w:tcPr>
            <w:tcW w:w="1540"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财政局</w:t>
            </w:r>
          </w:p>
        </w:tc>
        <w:tc>
          <w:tcPr>
            <w:tcW w:w="5715" w:type="dxa"/>
            <w:vAlign w:val="center"/>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我市共实施美丽乡村项目33个，截至6月底完工2个，正在建设19个，准备开工4个，正在招投标7个，正在设计1个。</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837" w:type="dxa"/>
            <w:vAlign w:val="center"/>
          </w:tcPr>
          <w:p>
            <w:pPr>
              <w:jc w:val="both"/>
              <w:rPr>
                <w:rFonts w:hint="eastAsia" w:ascii="楷体_GB2312" w:hAnsi="楷体_GB2312" w:eastAsia="楷体_GB2312" w:cs="楷体_GB2312"/>
                <w:b/>
                <w:bCs/>
                <w:snapToGrid w:val="0"/>
                <w:color w:val="000000"/>
                <w:kern w:val="32"/>
                <w:sz w:val="24"/>
                <w:szCs w:val="24"/>
                <w:lang w:val="en-US" w:eastAsia="zh-CN"/>
              </w:rPr>
            </w:pPr>
            <w:r>
              <w:rPr>
                <w:rFonts w:hint="eastAsia" w:ascii="楷体_GB2312" w:hAnsi="楷体_GB2312" w:eastAsia="楷体_GB2312" w:cs="楷体_GB2312"/>
                <w:b/>
                <w:bCs/>
                <w:snapToGrid w:val="0"/>
                <w:color w:val="000000"/>
                <w:kern w:val="32"/>
                <w:sz w:val="24"/>
                <w:szCs w:val="24"/>
                <w:lang w:val="en-US" w:eastAsia="zh-CN"/>
              </w:rPr>
              <w:t>（五）</w:t>
            </w:r>
          </w:p>
        </w:tc>
        <w:tc>
          <w:tcPr>
            <w:tcW w:w="4860" w:type="dxa"/>
            <w:vAlign w:val="center"/>
          </w:tcPr>
          <w:p>
            <w:pPr>
              <w:jc w:val="both"/>
              <w:rPr>
                <w:rFonts w:hint="default" w:ascii="楷体_GB2312" w:hAnsi="楷体_GB2312" w:eastAsia="楷体_GB2312" w:cs="楷体_GB2312"/>
                <w:b/>
                <w:bCs/>
                <w:snapToGrid w:val="0"/>
                <w:color w:val="000000"/>
                <w:kern w:val="32"/>
                <w:sz w:val="24"/>
                <w:szCs w:val="24"/>
                <w:lang w:val="en-US" w:eastAsia="zh-CN"/>
              </w:rPr>
            </w:pPr>
            <w:r>
              <w:rPr>
                <w:rFonts w:hint="eastAsia" w:ascii="楷体_GB2312" w:hAnsi="楷体_GB2312" w:eastAsia="楷体_GB2312" w:cs="楷体_GB2312"/>
                <w:b/>
                <w:bCs/>
                <w:snapToGrid w:val="0"/>
                <w:color w:val="000000"/>
                <w:kern w:val="32"/>
                <w:sz w:val="24"/>
                <w:szCs w:val="24"/>
                <w:lang w:val="en-US" w:eastAsia="zh-CN"/>
              </w:rPr>
              <w:t>加快改革开放步伐，不断增强发展动能</w:t>
            </w:r>
          </w:p>
        </w:tc>
        <w:tc>
          <w:tcPr>
            <w:tcW w:w="1540" w:type="dxa"/>
            <w:vAlign w:val="center"/>
          </w:tcPr>
          <w:p>
            <w:pPr>
              <w:jc w:val="center"/>
              <w:rPr>
                <w:vertAlign w:val="baseline"/>
              </w:rPr>
            </w:pP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35</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深化“放管服”改革。</w:t>
            </w:r>
            <w:r>
              <w:rPr>
                <w:rFonts w:hint="eastAsia" w:asciiTheme="majorEastAsia" w:hAnsiTheme="majorEastAsia" w:eastAsiaTheme="majorEastAsia" w:cstheme="majorEastAsia"/>
                <w:snapToGrid w:val="0"/>
                <w:color w:val="000000"/>
                <w:kern w:val="32"/>
                <w:sz w:val="24"/>
                <w:szCs w:val="24"/>
                <w:lang w:val="en-US" w:eastAsia="zh-CN"/>
              </w:rPr>
              <w:t>加</w:t>
            </w:r>
            <w:r>
              <w:rPr>
                <w:rFonts w:hint="default" w:asciiTheme="majorEastAsia" w:hAnsiTheme="majorEastAsia" w:eastAsiaTheme="majorEastAsia" w:cstheme="majorEastAsia"/>
                <w:snapToGrid w:val="0"/>
                <w:color w:val="000000"/>
                <w:kern w:val="32"/>
                <w:sz w:val="24"/>
                <w:szCs w:val="24"/>
                <w:lang w:val="en-US" w:eastAsia="zh-CN"/>
              </w:rPr>
              <w:t>强权责清单、申报材料清单、中介服务清单、证明事项清单、收费清单“五张清单”管理，集成推进“五减一降”改革；大力推行“互联网+政务服务”，加快实施政务服务“一次办妥”改革，实现“一窗受理、一表申请、一网通办、一次办妥”；积极推行“双随机一公开”制度，全面加强事中事后监管</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市编办</w:t>
            </w: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default" w:asciiTheme="majorEastAsia" w:hAnsiTheme="majorEastAsia" w:eastAsiaTheme="majorEastAsia" w:cstheme="majorEastAsia"/>
                <w:snapToGrid w:val="0"/>
                <w:color w:val="000000"/>
                <w:kern w:val="32"/>
                <w:sz w:val="24"/>
                <w:szCs w:val="24"/>
                <w:lang w:val="en-US" w:eastAsia="zh-CN"/>
              </w:rPr>
              <w:t>1.印发《济源市机构编制委员会关于调整一批市政府部门行政职权事项的通知》和《济源市机构编制委员会关于调整一批市政府部门行政职权事项的通知》</w:t>
            </w:r>
            <w:r>
              <w:rPr>
                <w:rFonts w:hint="eastAsia" w:asciiTheme="majorEastAsia" w:hAnsiTheme="majorEastAsia" w:eastAsiaTheme="majorEastAsia" w:cstheme="majorEastAsia"/>
                <w:snapToGrid w:val="0"/>
                <w:color w:val="000000"/>
                <w:kern w:val="32"/>
                <w:sz w:val="24"/>
                <w:szCs w:val="24"/>
                <w:lang w:val="en-US" w:eastAsia="zh-CN"/>
              </w:rPr>
              <w:t>，同步对各部门的申报材料清单进行了调整。</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default" w:asciiTheme="majorEastAsia" w:hAnsiTheme="majorEastAsia" w:eastAsiaTheme="majorEastAsia" w:cstheme="majorEastAsia"/>
                <w:snapToGrid w:val="0"/>
                <w:color w:val="000000"/>
                <w:kern w:val="32"/>
                <w:sz w:val="24"/>
                <w:szCs w:val="24"/>
                <w:lang w:val="en-US" w:eastAsia="zh-CN"/>
              </w:rPr>
              <w:t>2.将11个镇、5个街道纳入权责清单管理范围，印发了《济源市机构编制委员会关于公布镇级政府行政职权目录的通知》，印发公布了镇政府和街道办事处的权责清单。</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default" w:asciiTheme="majorEastAsia" w:hAnsiTheme="majorEastAsia" w:eastAsiaTheme="majorEastAsia" w:cstheme="majorEastAsia"/>
                <w:snapToGrid w:val="0"/>
                <w:color w:val="000000"/>
                <w:kern w:val="32"/>
                <w:sz w:val="24"/>
                <w:szCs w:val="24"/>
                <w:lang w:val="en-US" w:eastAsia="zh-CN"/>
              </w:rPr>
              <w:t>3.印发《济源市人民政府关于清理规范市直部门行政审批中介服务事项的通知》，研究制定了《济源市行政审批中介服务超市管理办法（试行）》。</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default" w:asciiTheme="majorEastAsia" w:hAnsiTheme="majorEastAsia" w:eastAsiaTheme="majorEastAsia" w:cstheme="majorEastAsia"/>
                <w:snapToGrid w:val="0"/>
                <w:color w:val="000000"/>
                <w:kern w:val="32"/>
                <w:sz w:val="24"/>
                <w:szCs w:val="24"/>
                <w:lang w:val="en-US" w:eastAsia="zh-CN"/>
              </w:rPr>
              <w:t>4.对证明事项进行了第三次集中清理，印发《济源市人民政府关于取消一批市政府部门证明事项的通知》</w:t>
            </w:r>
            <w:r>
              <w:rPr>
                <w:rFonts w:hint="eastAsia" w:asciiTheme="majorEastAsia" w:hAnsiTheme="majorEastAsia" w:eastAsiaTheme="majorEastAsia" w:cstheme="majorEastAsia"/>
                <w:snapToGrid w:val="0"/>
                <w:color w:val="000000"/>
                <w:kern w:val="32"/>
                <w:sz w:val="24"/>
                <w:szCs w:val="24"/>
                <w:lang w:val="en-US" w:eastAsia="zh-CN"/>
              </w:rPr>
              <w:t>。</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36</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深化商事制度改革。持续推进“三十五证合一”改革，加快企业登记全程电子化、市场主体简易注销改革，深入推进“先照后证”</w:t>
            </w:r>
            <w:r>
              <w:rPr>
                <w:rFonts w:hint="eastAsia" w:asciiTheme="majorEastAsia" w:hAnsiTheme="majorEastAsia" w:eastAsiaTheme="majorEastAsia" w:cstheme="majorEastAsia"/>
                <w:snapToGrid w:val="0"/>
                <w:color w:val="000000"/>
                <w:kern w:val="32"/>
                <w:sz w:val="24"/>
                <w:szCs w:val="24"/>
                <w:lang w:val="en-US" w:eastAsia="zh-CN"/>
              </w:rPr>
              <w:t>、</w:t>
            </w:r>
            <w:r>
              <w:rPr>
                <w:rFonts w:hint="default" w:asciiTheme="majorEastAsia" w:hAnsiTheme="majorEastAsia" w:eastAsiaTheme="majorEastAsia" w:cstheme="majorEastAsia"/>
                <w:snapToGrid w:val="0"/>
                <w:color w:val="000000"/>
                <w:kern w:val="32"/>
                <w:sz w:val="24"/>
                <w:szCs w:val="24"/>
                <w:lang w:val="en-US" w:eastAsia="zh-CN"/>
              </w:rPr>
              <w:t>“证照分离”改革，激发市场活力和创造力</w:t>
            </w:r>
            <w:r>
              <w:rPr>
                <w:rFonts w:hint="eastAsia" w:asciiTheme="majorEastAsia" w:hAnsiTheme="majorEastAsia" w:eastAsiaTheme="majorEastAsia" w:cstheme="majorEastAsia"/>
                <w:snapToGrid w:val="0"/>
                <w:color w:val="000000"/>
                <w:kern w:val="32"/>
                <w:sz w:val="24"/>
                <w:szCs w:val="24"/>
                <w:lang w:val="en-US" w:eastAsia="zh-CN"/>
              </w:rPr>
              <w:t>，</w:t>
            </w:r>
            <w:r>
              <w:rPr>
                <w:rFonts w:hint="default" w:asciiTheme="majorEastAsia" w:hAnsiTheme="majorEastAsia" w:eastAsiaTheme="majorEastAsia" w:cstheme="majorEastAsia"/>
                <w:snapToGrid w:val="0"/>
                <w:color w:val="000000"/>
                <w:kern w:val="32"/>
                <w:sz w:val="24"/>
                <w:szCs w:val="24"/>
                <w:lang w:val="en-US" w:eastAsia="zh-CN"/>
              </w:rPr>
              <w:t>营造稳定公平透明可预期的营商环境</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工商局</w:t>
            </w:r>
          </w:p>
        </w:tc>
        <w:tc>
          <w:tcPr>
            <w:tcW w:w="5715" w:type="dxa"/>
          </w:tcPr>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1.上半年</w:t>
            </w:r>
            <w:r>
              <w:rPr>
                <w:rFonts w:hint="default" w:asciiTheme="majorEastAsia" w:hAnsiTheme="majorEastAsia" w:eastAsiaTheme="majorEastAsia" w:cstheme="majorEastAsia"/>
                <w:snapToGrid w:val="0"/>
                <w:color w:val="000000"/>
                <w:kern w:val="32"/>
                <w:sz w:val="24"/>
                <w:szCs w:val="24"/>
                <w:lang w:val="en-US" w:eastAsia="zh-CN"/>
              </w:rPr>
              <w:t>新办理“多证合一”营业执照6142户（。目前全市共有51389户。7月1日起，外资企业商务备案与工商登记由工商部门“一口办理”。</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2.上年年</w:t>
            </w:r>
            <w:r>
              <w:rPr>
                <w:rFonts w:hint="default" w:asciiTheme="majorEastAsia" w:hAnsiTheme="majorEastAsia" w:eastAsiaTheme="majorEastAsia" w:cstheme="majorEastAsia"/>
                <w:snapToGrid w:val="0"/>
                <w:color w:val="000000"/>
                <w:kern w:val="32"/>
                <w:sz w:val="24"/>
                <w:szCs w:val="24"/>
                <w:lang w:val="en-US" w:eastAsia="zh-CN"/>
              </w:rPr>
              <w:t>办理全程电子化登记474家，其中企业274家，个体工商户200户。其中6月份一个月，企业登记97户，电子化率36.52%；个体登记130户，电子化率15.13%。</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3.上半年</w:t>
            </w:r>
            <w:r>
              <w:rPr>
                <w:rFonts w:hint="default" w:asciiTheme="majorEastAsia" w:hAnsiTheme="majorEastAsia" w:eastAsiaTheme="majorEastAsia" w:cstheme="majorEastAsia"/>
                <w:snapToGrid w:val="0"/>
                <w:color w:val="000000"/>
                <w:kern w:val="32"/>
                <w:sz w:val="24"/>
                <w:szCs w:val="24"/>
                <w:lang w:val="en-US" w:eastAsia="zh-CN"/>
              </w:rPr>
              <w:t>办企业理简易注销549家。</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4.</w:t>
            </w:r>
            <w:r>
              <w:rPr>
                <w:rFonts w:hint="default" w:asciiTheme="majorEastAsia" w:hAnsiTheme="majorEastAsia" w:eastAsiaTheme="majorEastAsia" w:cstheme="majorEastAsia"/>
                <w:snapToGrid w:val="0"/>
                <w:color w:val="000000"/>
                <w:kern w:val="32"/>
                <w:sz w:val="24"/>
                <w:szCs w:val="24"/>
                <w:lang w:val="en-US" w:eastAsia="zh-CN"/>
              </w:rPr>
              <w:t>已通过“双告知”平台精确推送“先照后证”营业执照651家。“证照分离”改革工作根据省工商局安排推进，省局5月份在中国（河南）自贸区试点，计划12月底再全省开展。</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37"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37</w:t>
            </w:r>
          </w:p>
        </w:tc>
        <w:tc>
          <w:tcPr>
            <w:tcW w:w="4860" w:type="dxa"/>
            <w:vAlign w:val="center"/>
          </w:tcPr>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default" w:asciiTheme="majorEastAsia" w:hAnsiTheme="majorEastAsia" w:eastAsiaTheme="majorEastAsia" w:cstheme="majorEastAsia"/>
                <w:snapToGrid w:val="0"/>
                <w:color w:val="000000"/>
                <w:kern w:val="32"/>
                <w:sz w:val="24"/>
                <w:szCs w:val="24"/>
                <w:lang w:val="en-US" w:eastAsia="zh-CN"/>
              </w:rPr>
              <w:t>抓好其他重点领域改革。继续深化财税、金融、投融资、国企、文化、教育、医疗等重点领域改革，持续推进国家低碳城市建设，积极争创全国社会信用体系建设示范城市</w:t>
            </w:r>
          </w:p>
        </w:tc>
        <w:tc>
          <w:tcPr>
            <w:tcW w:w="1540"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改革办</w:t>
            </w:r>
          </w:p>
        </w:tc>
        <w:tc>
          <w:tcPr>
            <w:tcW w:w="5715" w:type="dxa"/>
            <w:vAlign w:val="center"/>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各项改革正在有序推进。</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37"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38</w:t>
            </w:r>
          </w:p>
        </w:tc>
        <w:tc>
          <w:tcPr>
            <w:tcW w:w="4860" w:type="dxa"/>
            <w:vAlign w:val="center"/>
          </w:tcPr>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default" w:asciiTheme="majorEastAsia" w:hAnsiTheme="majorEastAsia" w:eastAsiaTheme="majorEastAsia" w:cstheme="majorEastAsia"/>
                <w:snapToGrid w:val="0"/>
                <w:color w:val="000000"/>
                <w:kern w:val="32"/>
                <w:sz w:val="24"/>
                <w:szCs w:val="24"/>
                <w:lang w:val="en-US" w:eastAsia="zh-CN"/>
              </w:rPr>
              <w:t>持续抓好招商引资。开展“精准招商服务年”活动，以有色金属、装备制造、现代服务业为重点，突出产业链集群招商，绘制产业招商图谱，落实招商优惠政策，积极参加第十二届</w:t>
            </w:r>
            <w:r>
              <w:rPr>
                <w:rFonts w:hint="eastAsia" w:asciiTheme="majorEastAsia" w:hAnsiTheme="majorEastAsia" w:eastAsiaTheme="majorEastAsia" w:cstheme="majorEastAsia"/>
                <w:snapToGrid w:val="0"/>
                <w:color w:val="000000"/>
                <w:kern w:val="32"/>
                <w:sz w:val="24"/>
                <w:szCs w:val="24"/>
                <w:lang w:val="en-US" w:eastAsia="zh-CN"/>
              </w:rPr>
              <w:t>河南</w:t>
            </w:r>
            <w:r>
              <w:rPr>
                <w:rFonts w:hint="default" w:asciiTheme="majorEastAsia" w:hAnsiTheme="majorEastAsia" w:eastAsiaTheme="majorEastAsia" w:cstheme="majorEastAsia"/>
                <w:snapToGrid w:val="0"/>
                <w:color w:val="000000"/>
                <w:kern w:val="32"/>
                <w:sz w:val="24"/>
                <w:szCs w:val="24"/>
                <w:lang w:val="en-US" w:eastAsia="zh-CN"/>
              </w:rPr>
              <w:t>投洽会、第十五届东盟博览会等重大经贸交流活动，全年实际利用省外资金21</w:t>
            </w:r>
            <w:r>
              <w:rPr>
                <w:rFonts w:hint="eastAsia" w:asciiTheme="majorEastAsia" w:hAnsiTheme="majorEastAsia" w:eastAsiaTheme="majorEastAsia" w:cstheme="majorEastAsia"/>
                <w:snapToGrid w:val="0"/>
                <w:color w:val="000000"/>
                <w:kern w:val="32"/>
                <w:sz w:val="24"/>
                <w:szCs w:val="24"/>
                <w:lang w:val="en-US" w:eastAsia="zh-CN"/>
              </w:rPr>
              <w:t>5</w:t>
            </w:r>
            <w:r>
              <w:rPr>
                <w:rFonts w:hint="default" w:asciiTheme="majorEastAsia" w:hAnsiTheme="majorEastAsia" w:eastAsiaTheme="majorEastAsia" w:cstheme="majorEastAsia"/>
                <w:snapToGrid w:val="0"/>
                <w:color w:val="000000"/>
                <w:kern w:val="32"/>
                <w:sz w:val="24"/>
                <w:szCs w:val="24"/>
                <w:lang w:val="en-US" w:eastAsia="zh-CN"/>
              </w:rPr>
              <w:t>亿元，实际利用外资3.</w:t>
            </w:r>
            <w:r>
              <w:rPr>
                <w:rFonts w:hint="eastAsia" w:asciiTheme="majorEastAsia" w:hAnsiTheme="majorEastAsia" w:eastAsiaTheme="majorEastAsia" w:cstheme="majorEastAsia"/>
                <w:snapToGrid w:val="0"/>
                <w:color w:val="000000"/>
                <w:kern w:val="32"/>
                <w:sz w:val="24"/>
                <w:szCs w:val="24"/>
                <w:lang w:val="en-US" w:eastAsia="zh-CN"/>
              </w:rPr>
              <w:t>4</w:t>
            </w:r>
            <w:r>
              <w:rPr>
                <w:rFonts w:hint="default" w:asciiTheme="majorEastAsia" w:hAnsiTheme="majorEastAsia" w:eastAsiaTheme="majorEastAsia" w:cstheme="majorEastAsia"/>
                <w:snapToGrid w:val="0"/>
                <w:color w:val="000000"/>
                <w:kern w:val="32"/>
                <w:sz w:val="24"/>
                <w:szCs w:val="24"/>
                <w:lang w:val="en-US" w:eastAsia="zh-CN"/>
              </w:rPr>
              <w:t>亿美元</w:t>
            </w:r>
          </w:p>
        </w:tc>
        <w:tc>
          <w:tcPr>
            <w:tcW w:w="1540"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商务局</w:t>
            </w: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出台了《济源市2018精准招商服务年活动实施方案》，围绕七大重点产业重新制作了《营商·济源》招商引资宣传片，编制了“1+7”招商项目册，参加了第十二届投洽会和2018年豫籍香港企业家春茗系列经贸活动，举办了“2018中国（济源）储能及新能源汽车峰会”、“营商·济源优势产业推介暨项目签约仪式”等专题推介活动。1-5月份，全市实际利用省外资金93.5亿元，占目标任务215亿元的43.5%，居全省第1位、同比增长5.9%，居全省第9位。预计1-6月份，实际利用外资完成20023万美元，占目标57%。同比增长13.95%。</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37"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39</w:t>
            </w:r>
          </w:p>
        </w:tc>
        <w:tc>
          <w:tcPr>
            <w:tcW w:w="4860" w:type="dxa"/>
            <w:vAlign w:val="center"/>
          </w:tcPr>
          <w:p>
            <w:pPr>
              <w:jc w:val="both"/>
              <w:rPr>
                <w:rFonts w:hint="default" w:ascii="Times New Roman" w:hAnsi="Times New Roman" w:eastAsia="仿宋_GB2312" w:cs="Times New Roman"/>
                <w:b w:val="0"/>
                <w:bCs w:val="0"/>
                <w:snapToGrid w:val="0"/>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夯实开放载体。深入推进产业集聚（开发）区整合，加快特色商业街区规划建设；全面加快济源海关办事处筹建，确保有色金属现货交易平台规范运营；进一步对接河南自贸试验区，承接并放大自贸试验区“溢出”效应，打造中原城市群开放高地</w:t>
            </w:r>
          </w:p>
        </w:tc>
        <w:tc>
          <w:tcPr>
            <w:tcW w:w="1540"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发改委</w:t>
            </w:r>
          </w:p>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工信委</w:t>
            </w:r>
          </w:p>
        </w:tc>
        <w:tc>
          <w:tcPr>
            <w:tcW w:w="5715" w:type="dxa"/>
          </w:tcPr>
          <w:p>
            <w:pPr>
              <w:numPr>
                <w:ilvl w:val="0"/>
                <w:numId w:val="0"/>
              </w:num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1.虎岭、高新已完成整合。已组织申报中兴物流为省级服务业专业园区。</w:t>
            </w:r>
          </w:p>
          <w:p>
            <w:pPr>
              <w:numPr>
                <w:ilvl w:val="0"/>
                <w:numId w:val="0"/>
              </w:num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2.认真做好济源海关办事处筹建工作，《关于申请河南出入境检验检疫局济源办事处变更为郑州海关济源办事处的请示》已报省政府，并向郑州海关发函，拟抓住检验检疫机构并入海关的机遇，争取将检验检疫办事处保留并变更为海关办事处。有色金属交易场所线上交易活动顺利开展，亚交所总部经济区已注册企业88家，一批知名贸易企业来我市注册，纳税额已超千万元。</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trPr>
        <w:tc>
          <w:tcPr>
            <w:tcW w:w="837" w:type="dxa"/>
            <w:vAlign w:val="center"/>
          </w:tcPr>
          <w:p>
            <w:pPr>
              <w:jc w:val="center"/>
              <w:rPr>
                <w:rFonts w:hint="eastAsia" w:eastAsiaTheme="minorEastAsia"/>
                <w:vertAlign w:val="baseline"/>
                <w:lang w:val="en-US" w:eastAsia="zh-CN"/>
              </w:rPr>
            </w:pPr>
            <w:r>
              <w:rPr>
                <w:rFonts w:hint="eastAsia" w:asciiTheme="majorEastAsia" w:hAnsiTheme="majorEastAsia" w:eastAsiaTheme="majorEastAsia" w:cstheme="majorEastAsia"/>
                <w:snapToGrid w:val="0"/>
                <w:color w:val="000000"/>
                <w:kern w:val="32"/>
                <w:sz w:val="24"/>
                <w:szCs w:val="24"/>
                <w:lang w:val="en-US" w:eastAsia="zh-CN"/>
              </w:rPr>
              <w:t>40</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深化区域合作。加强与洛阳在基础设施、科技创新以及信息等领域的合作，推进济洛一体发展；积极参与和对接“一带一路”等重大战略实施，主动接受辐射、承接转移</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发改委</w:t>
            </w:r>
          </w:p>
        </w:tc>
        <w:tc>
          <w:tcPr>
            <w:tcW w:w="5715" w:type="dxa"/>
          </w:tcPr>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分别赴郑州、洛阳参与洛阳都市圈规划编制座谈交流会，调研了一批骨干企业，梳理出一批跨区域实施的重大项目；6月28日，洛阳市发改委对我市石化产业项目进行了考察，下一步将重点就豫西北产业带规划编制保持对接。</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trPr>
        <w:tc>
          <w:tcPr>
            <w:tcW w:w="837" w:type="dxa"/>
            <w:vAlign w:val="center"/>
          </w:tcPr>
          <w:p>
            <w:pPr>
              <w:jc w:val="both"/>
              <w:rPr>
                <w:rFonts w:hint="eastAsia" w:ascii="楷体_GB2312" w:hAnsi="楷体_GB2312" w:eastAsia="楷体_GB2312" w:cs="楷体_GB2312"/>
                <w:b/>
                <w:bCs/>
                <w:snapToGrid w:val="0"/>
                <w:color w:val="000000"/>
                <w:kern w:val="32"/>
                <w:sz w:val="24"/>
                <w:szCs w:val="24"/>
                <w:lang w:val="en-US" w:eastAsia="zh-CN"/>
              </w:rPr>
            </w:pPr>
            <w:r>
              <w:rPr>
                <w:rFonts w:hint="eastAsia" w:ascii="楷体_GB2312" w:hAnsi="楷体_GB2312" w:eastAsia="楷体_GB2312" w:cs="楷体_GB2312"/>
                <w:b/>
                <w:bCs/>
                <w:snapToGrid w:val="0"/>
                <w:color w:val="000000"/>
                <w:kern w:val="32"/>
                <w:sz w:val="24"/>
                <w:szCs w:val="24"/>
                <w:lang w:val="en-US" w:eastAsia="zh-CN"/>
              </w:rPr>
              <w:t>（六）</w:t>
            </w:r>
          </w:p>
        </w:tc>
        <w:tc>
          <w:tcPr>
            <w:tcW w:w="4860" w:type="dxa"/>
            <w:vAlign w:val="center"/>
          </w:tcPr>
          <w:p>
            <w:pPr>
              <w:jc w:val="both"/>
              <w:rPr>
                <w:rFonts w:hint="default" w:ascii="楷体_GB2312" w:hAnsi="楷体_GB2312" w:eastAsia="楷体_GB2312" w:cs="楷体_GB2312"/>
                <w:b/>
                <w:bCs/>
                <w:snapToGrid w:val="0"/>
                <w:color w:val="000000"/>
                <w:kern w:val="32"/>
                <w:sz w:val="24"/>
                <w:szCs w:val="24"/>
                <w:lang w:val="en-US" w:eastAsia="zh-CN"/>
              </w:rPr>
            </w:pPr>
            <w:r>
              <w:rPr>
                <w:rFonts w:hint="eastAsia" w:ascii="楷体_GB2312" w:hAnsi="楷体_GB2312" w:eastAsia="楷体_GB2312" w:cs="楷体_GB2312"/>
                <w:b/>
                <w:bCs/>
                <w:snapToGrid w:val="0"/>
                <w:color w:val="000000"/>
                <w:kern w:val="32"/>
                <w:sz w:val="24"/>
                <w:szCs w:val="24"/>
                <w:lang w:val="en-US" w:eastAsia="zh-CN"/>
              </w:rPr>
              <w:t>持续扩大有效投资，全面推进重大项目建设</w:t>
            </w:r>
          </w:p>
        </w:tc>
        <w:tc>
          <w:tcPr>
            <w:tcW w:w="1540" w:type="dxa"/>
            <w:vAlign w:val="center"/>
          </w:tcPr>
          <w:p>
            <w:pPr>
              <w:jc w:val="center"/>
              <w:rPr>
                <w:vertAlign w:val="baseline"/>
              </w:rPr>
            </w:pPr>
          </w:p>
        </w:tc>
        <w:tc>
          <w:tcPr>
            <w:tcW w:w="5715" w:type="dxa"/>
          </w:tcPr>
          <w:p>
            <w:pPr>
              <w:jc w:val="both"/>
              <w:rPr>
                <w:rFonts w:hint="default" w:asciiTheme="majorEastAsia" w:hAnsiTheme="majorEastAsia" w:eastAsiaTheme="majorEastAsia" w:cstheme="majorEastAsia"/>
                <w:snapToGrid w:val="0"/>
                <w:color w:val="000000"/>
                <w:kern w:val="32"/>
                <w:sz w:val="24"/>
                <w:szCs w:val="24"/>
                <w:lang w:val="en-US" w:eastAsia="zh-CN"/>
              </w:rPr>
            </w:pP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41</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持续扩大有效投资。出台《</w:t>
            </w:r>
            <w:r>
              <w:rPr>
                <w:rFonts w:hint="eastAsia" w:asciiTheme="majorEastAsia" w:hAnsiTheme="majorEastAsia" w:eastAsiaTheme="majorEastAsia" w:cstheme="majorEastAsia"/>
                <w:snapToGrid w:val="0"/>
                <w:color w:val="000000"/>
                <w:kern w:val="32"/>
                <w:sz w:val="24"/>
                <w:szCs w:val="24"/>
                <w:lang w:val="en-US" w:eastAsia="zh-CN"/>
              </w:rPr>
              <w:t>关于</w:t>
            </w:r>
            <w:r>
              <w:rPr>
                <w:rFonts w:hint="default" w:asciiTheme="majorEastAsia" w:hAnsiTheme="majorEastAsia" w:eastAsiaTheme="majorEastAsia" w:cstheme="majorEastAsia"/>
                <w:snapToGrid w:val="0"/>
                <w:color w:val="000000"/>
                <w:kern w:val="32"/>
                <w:sz w:val="24"/>
                <w:szCs w:val="24"/>
                <w:lang w:val="en-US" w:eastAsia="zh-CN"/>
              </w:rPr>
              <w:t>扩大有效投资推动全市经济高质量发展的意见》，实施扩大有效投资三年行动计划，开展项目建设年活动；建立并完善重大项目储备制度，完善项目推进机制，优化项目建设政务环境和社会环境，加快项目建设进度</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发改委</w:t>
            </w:r>
          </w:p>
        </w:tc>
        <w:tc>
          <w:tcPr>
            <w:tcW w:w="5715" w:type="dxa"/>
          </w:tcPr>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印发《关于扩大有效投资推动全市经济高质量发展的意见》；开展项目建设年活动，出台《济源市重点项目建设周例会工作制度》，对项目建设问题进行集中会商，限期办结。截至6月底，举行集中开工活动2次，集中开工项目74个，总投资186亿元；组织项目观摩活动2次；召开了13次项目周例会，协调解决项目问题105项，已解决问题97项。</w:t>
            </w:r>
            <w:r>
              <w:rPr>
                <w:rFonts w:hint="default" w:asciiTheme="majorEastAsia" w:hAnsiTheme="majorEastAsia" w:eastAsiaTheme="majorEastAsia" w:cstheme="majorEastAsia"/>
                <w:snapToGrid w:val="0"/>
                <w:color w:val="000000"/>
                <w:kern w:val="32"/>
                <w:sz w:val="24"/>
                <w:szCs w:val="24"/>
                <w:lang w:val="en-US" w:eastAsia="zh-CN"/>
              </w:rPr>
              <w:t>建立重大项目储备库。对政府投资项目建立三年滚动项目库，实行动态管理。</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42</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深化投融资体制改革。全面实行新版投资项目审批流程，实行负面清单制度，推广“容缺办理”、“承诺制”等创新举措，简化优化政府投资项目审批、企业投资项目核准备案管理，实现投资项目在线审批监管平台与电子政务服务平台系统融合</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发改委</w:t>
            </w: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出台《济源市简化和规范投资项目审批流程工作方案》，明确建立了“容缺办理”等创新举措；起草制订了《关于深化企业投资便利化改革的实施意见》，目前已通过政府常务会和深改组会议审议，近日可印发。召开全市投资项目在线审批工作培训会，围绕项目核准、备案、审批等三类业务，对投资项目在线审批监管平台进行业务办理培训。加强平台数据对接和审批事项梳理，组织相关审批部门对审批事项进行全面梳理，对上报数据进行全面规范，共梳理出事项85项。济源政务网与河南在线平台已于6月底全部联通。</w:t>
            </w:r>
          </w:p>
        </w:tc>
        <w:tc>
          <w:tcPr>
            <w:tcW w:w="968" w:type="dxa"/>
          </w:tcPr>
          <w:p>
            <w:pPr>
              <w:rPr>
                <w:rFonts w:hint="eastAsia" w:eastAsia="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43</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加大资金争取和要素保障。精心谋划、包装和申报项目，争取更多项目进入国家、省计划“篮子”；完善落实促进民间投资的支持政策，鼓励民间资本参与PPP项目，进一步激发民间有效投资活力</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发改委</w:t>
            </w:r>
          </w:p>
        </w:tc>
        <w:tc>
          <w:tcPr>
            <w:tcW w:w="5715" w:type="dxa"/>
            <w:vAlign w:val="center"/>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共争取上级资金2612万元，下一步将加大谋划包装项目力度，争取更多项目列入计划。已出台《关于鼓励民间资本参与政府和社会资本合作（PPP）项目的实施意见》。</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44</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加快现代化综合交通网络建设。</w:t>
            </w:r>
            <w:r>
              <w:rPr>
                <w:rFonts w:hint="eastAsia" w:asciiTheme="majorEastAsia" w:hAnsiTheme="majorEastAsia" w:eastAsiaTheme="majorEastAsia" w:cstheme="majorEastAsia"/>
                <w:snapToGrid w:val="0"/>
                <w:color w:val="000000"/>
                <w:kern w:val="32"/>
                <w:sz w:val="24"/>
                <w:szCs w:val="24"/>
                <w:lang w:val="en-US" w:eastAsia="zh-CN"/>
              </w:rPr>
              <w:t>全力做好</w:t>
            </w:r>
            <w:r>
              <w:rPr>
                <w:rFonts w:hint="default" w:asciiTheme="majorEastAsia" w:hAnsiTheme="majorEastAsia" w:eastAsiaTheme="majorEastAsia" w:cstheme="majorEastAsia"/>
                <w:snapToGrid w:val="0"/>
                <w:color w:val="000000"/>
                <w:kern w:val="32"/>
                <w:sz w:val="24"/>
                <w:szCs w:val="24"/>
                <w:lang w:val="en-US" w:eastAsia="zh-CN"/>
              </w:rPr>
              <w:t>呼南高铁豫西通道前期，加快济阳高速、济洛西高速</w:t>
            </w:r>
            <w:r>
              <w:rPr>
                <w:rFonts w:hint="eastAsia" w:asciiTheme="majorEastAsia" w:hAnsiTheme="majorEastAsia" w:eastAsiaTheme="majorEastAsia" w:cstheme="majorEastAsia"/>
                <w:snapToGrid w:val="0"/>
                <w:color w:val="000000"/>
                <w:kern w:val="32"/>
                <w:sz w:val="24"/>
                <w:szCs w:val="24"/>
                <w:lang w:val="en-US" w:eastAsia="zh-CN"/>
              </w:rPr>
              <w:t>建设，启动</w:t>
            </w:r>
            <w:r>
              <w:rPr>
                <w:rFonts w:hint="default" w:asciiTheme="majorEastAsia" w:hAnsiTheme="majorEastAsia" w:eastAsiaTheme="majorEastAsia" w:cstheme="majorEastAsia"/>
                <w:snapToGrid w:val="0"/>
                <w:color w:val="000000"/>
                <w:kern w:val="32"/>
                <w:sz w:val="24"/>
                <w:szCs w:val="24"/>
                <w:lang w:val="en-US" w:eastAsia="zh-CN"/>
              </w:rPr>
              <w:t>沿太行高速一期、济洛快速通道、南太行旅游公路、小浪底北岸公路等项目建设，</w:t>
            </w:r>
            <w:r>
              <w:rPr>
                <w:rFonts w:hint="eastAsia" w:asciiTheme="majorEastAsia" w:hAnsiTheme="majorEastAsia" w:eastAsiaTheme="majorEastAsia" w:cstheme="majorEastAsia"/>
                <w:snapToGrid w:val="0"/>
                <w:color w:val="000000"/>
                <w:kern w:val="32"/>
                <w:sz w:val="24"/>
                <w:szCs w:val="24"/>
                <w:lang w:val="en-US" w:eastAsia="zh-CN"/>
              </w:rPr>
              <w:t>谋划推进</w:t>
            </w:r>
            <w:r>
              <w:rPr>
                <w:rFonts w:hint="default" w:asciiTheme="majorEastAsia" w:hAnsiTheme="majorEastAsia" w:eastAsiaTheme="majorEastAsia" w:cstheme="majorEastAsia"/>
                <w:snapToGrid w:val="0"/>
                <w:color w:val="000000"/>
                <w:kern w:val="32"/>
                <w:sz w:val="24"/>
                <w:szCs w:val="24"/>
                <w:lang w:val="en-US" w:eastAsia="zh-CN"/>
              </w:rPr>
              <w:t>沿太行高速公路二期</w:t>
            </w:r>
          </w:p>
        </w:tc>
        <w:tc>
          <w:tcPr>
            <w:tcW w:w="1540"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发改委</w:t>
            </w:r>
          </w:p>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交通局</w:t>
            </w: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呼南高铁豫西通道：正在由市发改委牵头向省发改委、国家发改委积极沟通汇报，争取将项目列入国家铁路网规划。</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济阳高速：2018年计划完成投资8亿元，截止2018年6月底，项目完成年度投资5.1亿元，目前项目施工正在有序推进。</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济洛西高速：2018年计划完成投资8亿元，截止2018年6月底，项目完成年度投资4.07亿元，项目施工正在有序推进。</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沿太行高速一期：我市PPP程序基本完成，工可初稿已编制完成，但受焦作沁阳段路线方案未确定影响，省发改委尚未对项目进行审批，目前省厅正在协调焦作市尽快开展工作。</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S240济洛快速通道：项目工可、初步设计已批复，积极准备进行PPP项目社会资本方招标采购。</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S230南太行旅游公路PPP项目：招标采购合同还未签订；现场土地勘界和村界划分已全部完成，还未出具《征地勘界报告》；目前正在对全线段剩余的附属物进行登记；济阳路以西段1公里路基已成型，桥梁、隧道工程正在进行临电架设和施工前准备工作。因土地、林地还未组卷上报，暂时不能进场施工，急需协调国土、林业部门加快组卷上报审批进度。</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S310小浪底北岸公路：目前PPP项目社会资本方招标采购资格预审已完成，正在进行下一步采购程序；黄河湿地国家林业局已批复，正在协调省林业厅批复项目占用林地手续；坡头、马住两村地面附属物登记已完成，马住村段树木已砍伐；现正在协调登记连地、双堂、泰山等村地面附着物。吉利区马洞村段由吉利区公路局负责实施，现正在协调之中。</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沿太行高速公路二期：工程预可研、可研初稿均已编制完成，省发改委、省交通厅已经同意将项目列入我省高速公路路网规划中，待相关规划确定后，将尽快开展项目审批立项工作。</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存在问题：受大气污染防治管控影响，石料厂全部关停，碎石和黄砂严重缺货，路面水稳层、沥青面层和桥涵施工无法进行，致使工地基本全面停工。</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45</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提升能源系统支撑能力。持续完善主网架和城乡配电网，实施“气化济源”工程，推进金马能源年产1亿立方米液化天然气及配套工程、国电苏岭52兆瓦风力发电等重大能源项目建设，千方百计稳定气源；化解煤炭过剩产能81万吨，全面完成煤炭产能退出任务</w:t>
            </w:r>
          </w:p>
        </w:tc>
        <w:tc>
          <w:tcPr>
            <w:tcW w:w="1540"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发改委</w:t>
            </w:r>
          </w:p>
        </w:tc>
        <w:tc>
          <w:tcPr>
            <w:tcW w:w="5715" w:type="dxa"/>
          </w:tcPr>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已开工建设汤帝110千伏变、五龙口110千伏变；勋城220千伏变等工程，续建的三湖变、梨林变、邵原变进入扫尾工程，预计9月份投运。国电苏岭风电已经完成升压站土建施工,完成80%工程量，风机到货23台套,已完成4台风机的吊装。金马焦化项目已经完工。已完成2018年化解煤炭过剩产能工作方案。</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46</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完善现代水利支持系统。完成盘溪河水生态河道治理主体工程，开工建设小浪底北岸（济源）灌区渠首工程，年底前争取实现工程全线贯通；确保王屋山供水复线、大峪河清虚至东河段河道治理工程、承留镇高效节水灌溉工程、国家水土保持重点工程等项目竣工；积极做好引沁补济、塌七河治理、邵原镇供水复线等工程前期工作</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水利局</w:t>
            </w:r>
          </w:p>
        </w:tc>
        <w:tc>
          <w:tcPr>
            <w:tcW w:w="5715" w:type="dxa"/>
          </w:tcPr>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完成济河所试验段小水系开挖及微地型填筑，土方开挖0.9万m³，格宾石笼网砌筑116 m³；药园段完成安装施工围档，洗车平台浇筑，场地平整。济源市小浪底北岸灌区水务有限责任公司与市建投公司、各工程参建单位分别签订了主体变更三方协议和有续建任务的施工企业签订剩余工程施工补充协议，渠首工程土建部分设计已完成，机电设备设计工作正与枢纽中心协商，施工一、二、四、六标段施工企业已完成施工现场清理、机械设备保养、电路检修等工作，具备开工条件。王屋山供水复线已完成全部工程建设任务，目前正在实施信息化管理系统的安装。大峪河清虚至东河段河道治理工程已完成50%。承留镇高效节水灌溉工程已完成招投标工作，近期准备开工。国家水土保持重点工程已完成治理面积10平方公里。完成引沁补济、邵原镇供水复线等工程前期的初步方案。</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837" w:type="dxa"/>
            <w:vAlign w:val="center"/>
          </w:tcPr>
          <w:p>
            <w:pPr>
              <w:jc w:val="both"/>
              <w:rPr>
                <w:rFonts w:hint="eastAsia" w:ascii="楷体_GB2312" w:hAnsi="楷体_GB2312" w:eastAsia="楷体_GB2312" w:cs="楷体_GB2312"/>
                <w:b/>
                <w:bCs/>
                <w:snapToGrid w:val="0"/>
                <w:color w:val="000000"/>
                <w:kern w:val="32"/>
                <w:sz w:val="24"/>
                <w:szCs w:val="24"/>
                <w:lang w:val="en-US" w:eastAsia="zh-CN"/>
              </w:rPr>
            </w:pPr>
            <w:r>
              <w:rPr>
                <w:rFonts w:hint="eastAsia" w:ascii="楷体_GB2312" w:hAnsi="楷体_GB2312" w:eastAsia="楷体_GB2312" w:cs="楷体_GB2312"/>
                <w:b/>
                <w:bCs/>
                <w:snapToGrid w:val="0"/>
                <w:color w:val="000000"/>
                <w:kern w:val="32"/>
                <w:sz w:val="24"/>
                <w:szCs w:val="24"/>
                <w:lang w:val="en-US" w:eastAsia="zh-CN"/>
              </w:rPr>
              <w:t>（七）</w:t>
            </w:r>
          </w:p>
        </w:tc>
        <w:tc>
          <w:tcPr>
            <w:tcW w:w="4860" w:type="dxa"/>
            <w:vAlign w:val="center"/>
          </w:tcPr>
          <w:p>
            <w:pPr>
              <w:jc w:val="both"/>
              <w:rPr>
                <w:rFonts w:hint="default" w:ascii="楷体_GB2312" w:hAnsi="楷体_GB2312" w:eastAsia="楷体_GB2312" w:cs="楷体_GB2312"/>
                <w:b/>
                <w:bCs/>
                <w:snapToGrid w:val="0"/>
                <w:color w:val="000000"/>
                <w:kern w:val="32"/>
                <w:sz w:val="24"/>
                <w:szCs w:val="24"/>
                <w:lang w:val="en-US" w:eastAsia="zh-CN"/>
              </w:rPr>
            </w:pPr>
            <w:r>
              <w:rPr>
                <w:rFonts w:hint="eastAsia" w:ascii="楷体_GB2312" w:hAnsi="楷体_GB2312" w:eastAsia="楷体_GB2312" w:cs="楷体_GB2312"/>
                <w:b/>
                <w:bCs/>
                <w:snapToGrid w:val="0"/>
                <w:color w:val="000000"/>
                <w:kern w:val="32"/>
                <w:sz w:val="24"/>
                <w:szCs w:val="24"/>
                <w:lang w:val="en-US" w:eastAsia="zh-CN"/>
              </w:rPr>
              <w:t>加强生态文明建设，着力推动绿色发展</w:t>
            </w:r>
          </w:p>
        </w:tc>
        <w:tc>
          <w:tcPr>
            <w:tcW w:w="1540" w:type="dxa"/>
            <w:vAlign w:val="center"/>
          </w:tcPr>
          <w:p>
            <w:pPr>
              <w:jc w:val="center"/>
              <w:rPr>
                <w:vertAlign w:val="baseline"/>
              </w:rPr>
            </w:pPr>
          </w:p>
        </w:tc>
        <w:tc>
          <w:tcPr>
            <w:tcW w:w="5715" w:type="dxa"/>
          </w:tcPr>
          <w:p>
            <w:pPr>
              <w:jc w:val="both"/>
              <w:rPr>
                <w:rFonts w:hint="default" w:asciiTheme="majorEastAsia" w:hAnsiTheme="majorEastAsia" w:eastAsiaTheme="majorEastAsia" w:cstheme="majorEastAsia"/>
                <w:snapToGrid w:val="0"/>
                <w:color w:val="000000"/>
                <w:kern w:val="32"/>
                <w:sz w:val="24"/>
                <w:szCs w:val="24"/>
                <w:lang w:val="en-US" w:eastAsia="zh-CN"/>
              </w:rPr>
            </w:pP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47</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加快绿色低碳循环发展。启动生态文明建设目标评价考核，建立市重点用能单位能耗在线监测平台，适时启动碳排放</w:t>
            </w:r>
            <w:r>
              <w:rPr>
                <w:rFonts w:hint="eastAsia" w:asciiTheme="majorEastAsia" w:hAnsiTheme="majorEastAsia" w:eastAsiaTheme="majorEastAsia" w:cstheme="majorEastAsia"/>
                <w:snapToGrid w:val="0"/>
                <w:color w:val="000000"/>
                <w:kern w:val="32"/>
                <w:sz w:val="24"/>
                <w:szCs w:val="24"/>
                <w:lang w:val="en-US" w:eastAsia="zh-CN"/>
              </w:rPr>
              <w:t>权</w:t>
            </w:r>
            <w:r>
              <w:rPr>
                <w:rFonts w:hint="default" w:asciiTheme="majorEastAsia" w:hAnsiTheme="majorEastAsia" w:eastAsiaTheme="majorEastAsia" w:cstheme="majorEastAsia"/>
                <w:snapToGrid w:val="0"/>
                <w:color w:val="000000"/>
                <w:kern w:val="32"/>
                <w:sz w:val="24"/>
                <w:szCs w:val="24"/>
                <w:lang w:val="en-US" w:eastAsia="zh-CN"/>
              </w:rPr>
              <w:t>交易市场，开展用能权交易基础工作；启动实施静脉产业园建设三年行动计划，壮大节能环保产业规模</w:t>
            </w:r>
          </w:p>
        </w:tc>
        <w:tc>
          <w:tcPr>
            <w:tcW w:w="1540"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发改委</w:t>
            </w:r>
          </w:p>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环保局</w:t>
            </w:r>
          </w:p>
        </w:tc>
        <w:tc>
          <w:tcPr>
            <w:tcW w:w="5715" w:type="dxa"/>
          </w:tcPr>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1.生态文明建设目标评价考核已经启动，其中，完成省政府对我市的2016年度绿色发展指数评价，位居全省第一位，目前正在开展对集聚区、镇、街道的绿色发展指数评价所需基础工作。</w:t>
            </w:r>
            <w:r>
              <w:rPr>
                <w:rFonts w:hint="default" w:asciiTheme="majorEastAsia" w:hAnsiTheme="majorEastAsia" w:eastAsiaTheme="majorEastAsia" w:cstheme="majorEastAsia"/>
                <w:snapToGrid w:val="0"/>
                <w:color w:val="000000"/>
                <w:kern w:val="32"/>
                <w:sz w:val="24"/>
                <w:szCs w:val="24"/>
                <w:lang w:val="en-US" w:eastAsia="zh-CN"/>
              </w:rPr>
              <w:br w:type="textWrapping"/>
            </w:r>
            <w:r>
              <w:rPr>
                <w:rFonts w:hint="eastAsia" w:asciiTheme="majorEastAsia" w:hAnsiTheme="majorEastAsia" w:eastAsiaTheme="majorEastAsia" w:cstheme="majorEastAsia"/>
                <w:snapToGrid w:val="0"/>
                <w:color w:val="000000"/>
                <w:kern w:val="32"/>
                <w:sz w:val="24"/>
                <w:szCs w:val="24"/>
                <w:lang w:val="en-US" w:eastAsia="zh-CN"/>
              </w:rPr>
              <w:t>2.</w:t>
            </w:r>
            <w:r>
              <w:rPr>
                <w:rFonts w:hint="default" w:asciiTheme="majorEastAsia" w:hAnsiTheme="majorEastAsia" w:eastAsiaTheme="majorEastAsia" w:cstheme="majorEastAsia"/>
                <w:snapToGrid w:val="0"/>
                <w:color w:val="000000"/>
                <w:kern w:val="32"/>
                <w:sz w:val="24"/>
                <w:szCs w:val="24"/>
                <w:lang w:val="en-US" w:eastAsia="zh-CN"/>
              </w:rPr>
              <w:t>能耗在线平台技术方案已经报省发展改革委审查，根据审查结果尽快组织我市开展平台建设。</w:t>
            </w:r>
            <w:r>
              <w:rPr>
                <w:rFonts w:hint="default" w:asciiTheme="majorEastAsia" w:hAnsiTheme="majorEastAsia" w:eastAsiaTheme="majorEastAsia" w:cstheme="majorEastAsia"/>
                <w:snapToGrid w:val="0"/>
                <w:color w:val="000000"/>
                <w:kern w:val="32"/>
                <w:sz w:val="24"/>
                <w:szCs w:val="24"/>
                <w:lang w:val="en-US" w:eastAsia="zh-CN"/>
              </w:rPr>
              <w:br w:type="textWrapping"/>
            </w:r>
            <w:r>
              <w:rPr>
                <w:rFonts w:hint="eastAsia" w:asciiTheme="majorEastAsia" w:hAnsiTheme="majorEastAsia" w:eastAsiaTheme="majorEastAsia" w:cstheme="majorEastAsia"/>
                <w:snapToGrid w:val="0"/>
                <w:color w:val="000000"/>
                <w:kern w:val="32"/>
                <w:sz w:val="24"/>
                <w:szCs w:val="24"/>
                <w:lang w:val="en-US" w:eastAsia="zh-CN"/>
              </w:rPr>
              <w:t>3.</w:t>
            </w:r>
            <w:r>
              <w:rPr>
                <w:rFonts w:hint="default" w:asciiTheme="majorEastAsia" w:hAnsiTheme="majorEastAsia" w:eastAsiaTheme="majorEastAsia" w:cstheme="majorEastAsia"/>
                <w:snapToGrid w:val="0"/>
                <w:color w:val="000000"/>
                <w:kern w:val="32"/>
                <w:sz w:val="24"/>
                <w:szCs w:val="24"/>
                <w:lang w:val="en-US" w:eastAsia="zh-CN"/>
              </w:rPr>
              <w:t>已将沁北电厂、国电豫源纳入国家第一批碳排放交易试点名单，正在进行用能权交易所需的数据筛查工作。</w:t>
            </w:r>
            <w:r>
              <w:rPr>
                <w:rFonts w:hint="default" w:asciiTheme="majorEastAsia" w:hAnsiTheme="majorEastAsia" w:eastAsiaTheme="majorEastAsia" w:cstheme="majorEastAsia"/>
                <w:snapToGrid w:val="0"/>
                <w:color w:val="000000"/>
                <w:kern w:val="32"/>
                <w:sz w:val="24"/>
                <w:szCs w:val="24"/>
                <w:lang w:val="en-US" w:eastAsia="zh-CN"/>
              </w:rPr>
              <w:br w:type="textWrapping"/>
            </w:r>
            <w:r>
              <w:rPr>
                <w:rFonts w:hint="eastAsia" w:asciiTheme="majorEastAsia" w:hAnsiTheme="majorEastAsia" w:eastAsiaTheme="majorEastAsia" w:cstheme="majorEastAsia"/>
                <w:snapToGrid w:val="0"/>
                <w:color w:val="000000"/>
                <w:kern w:val="32"/>
                <w:sz w:val="24"/>
                <w:szCs w:val="24"/>
                <w:lang w:val="en-US" w:eastAsia="zh-CN"/>
              </w:rPr>
              <w:t>4.</w:t>
            </w:r>
            <w:r>
              <w:rPr>
                <w:rFonts w:hint="default" w:asciiTheme="majorEastAsia" w:hAnsiTheme="majorEastAsia" w:eastAsiaTheme="majorEastAsia" w:cstheme="majorEastAsia"/>
                <w:snapToGrid w:val="0"/>
                <w:color w:val="000000"/>
                <w:kern w:val="32"/>
                <w:sz w:val="24"/>
                <w:szCs w:val="24"/>
                <w:lang w:val="en-US" w:eastAsia="zh-CN"/>
              </w:rPr>
              <w:t>已经编制静脉产业园实施方案大纲报省发展改革委进行原则审查。根据审查结果，尽快编制整体方案。</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48</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加大生态保护修复力度。严格落实主体功能区规划，开展资源环境承载能力和国土开发适宜性评价，建立监测预警机制，落实配套政策，加快“三区三线”划定工作；积极推进国家储备林、“森林河南”、“3+1”造林绿化、退耕还林等重点工程建设，加快黄河湿地公园建设，完成</w:t>
            </w:r>
            <w:r>
              <w:rPr>
                <w:rFonts w:hint="eastAsia" w:asciiTheme="majorEastAsia" w:hAnsiTheme="majorEastAsia" w:eastAsiaTheme="majorEastAsia" w:cstheme="majorEastAsia"/>
                <w:snapToGrid w:val="0"/>
                <w:color w:val="000000"/>
                <w:kern w:val="32"/>
                <w:sz w:val="24"/>
                <w:szCs w:val="24"/>
                <w:lang w:val="en-US" w:eastAsia="zh-CN"/>
              </w:rPr>
              <w:t>营造林5.88</w:t>
            </w:r>
            <w:r>
              <w:rPr>
                <w:rFonts w:hint="default" w:asciiTheme="majorEastAsia" w:hAnsiTheme="majorEastAsia" w:eastAsiaTheme="majorEastAsia" w:cstheme="majorEastAsia"/>
                <w:snapToGrid w:val="0"/>
                <w:color w:val="000000"/>
                <w:kern w:val="32"/>
                <w:sz w:val="24"/>
                <w:szCs w:val="24"/>
                <w:lang w:val="en-US" w:eastAsia="zh-CN"/>
              </w:rPr>
              <w:t>万亩</w:t>
            </w:r>
          </w:p>
        </w:tc>
        <w:tc>
          <w:tcPr>
            <w:tcW w:w="1540"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林业局</w:t>
            </w:r>
          </w:p>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发改委</w:t>
            </w: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1.截止目前，共完成森林河南，“3+1”造林绿化，退耕还林等重点工程造林3.88万亩，剩余2万亩飞播任务根据省厅安排，近期完成。国家储备林项目《可研》已完成，正在等待评审。 </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2.黄河湿地生态恢复项目，目前，水生湿生植物、绿化树种栽植已全部完成，其中栽植水杉、乌桕、白蜡、马尾松等各类大规格乔木700余株，迎春、海桐等灌木200余株，种植花草30余亩；景观亭建设已完成；观鸟塔建设已完成；木栈道550余米铺装已完成，其中，水中木栈道350余米，陆地木栈道200余米，木栈道刷漆已完成；巡护鹅卵石路长约740米已完成；巡护沥青路长约277米已完成；项目区内乔木、花草日常管护中,道路两侧培土已完成。</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3.生态红线环保局基本划定，基本农田红线国土局已完成划定，城镇开发边界规划局正在积极推进。</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837" w:type="dxa"/>
            <w:vAlign w:val="center"/>
          </w:tcPr>
          <w:p>
            <w:pPr>
              <w:jc w:val="both"/>
              <w:rPr>
                <w:rFonts w:hint="eastAsia" w:ascii="楷体_GB2312" w:hAnsi="楷体_GB2312" w:eastAsia="楷体_GB2312" w:cs="楷体_GB2312"/>
                <w:b/>
                <w:bCs/>
                <w:snapToGrid w:val="0"/>
                <w:color w:val="000000"/>
                <w:kern w:val="32"/>
                <w:sz w:val="24"/>
                <w:szCs w:val="24"/>
                <w:lang w:val="en-US" w:eastAsia="zh-CN"/>
              </w:rPr>
            </w:pPr>
            <w:r>
              <w:rPr>
                <w:rFonts w:hint="eastAsia" w:ascii="楷体_GB2312" w:hAnsi="楷体_GB2312" w:eastAsia="楷体_GB2312" w:cs="楷体_GB2312"/>
                <w:b/>
                <w:bCs/>
                <w:snapToGrid w:val="0"/>
                <w:color w:val="000000"/>
                <w:kern w:val="32"/>
                <w:sz w:val="24"/>
                <w:szCs w:val="24"/>
                <w:lang w:val="en-US" w:eastAsia="zh-CN"/>
              </w:rPr>
              <w:t>（八）</w:t>
            </w:r>
          </w:p>
        </w:tc>
        <w:tc>
          <w:tcPr>
            <w:tcW w:w="4860" w:type="dxa"/>
            <w:vAlign w:val="center"/>
          </w:tcPr>
          <w:p>
            <w:pPr>
              <w:jc w:val="both"/>
              <w:rPr>
                <w:rFonts w:hint="default" w:ascii="楷体_GB2312" w:hAnsi="楷体_GB2312" w:eastAsia="楷体_GB2312" w:cs="楷体_GB2312"/>
                <w:b/>
                <w:bCs/>
                <w:snapToGrid w:val="0"/>
                <w:color w:val="000000"/>
                <w:kern w:val="32"/>
                <w:sz w:val="24"/>
                <w:szCs w:val="24"/>
                <w:lang w:val="en-US" w:eastAsia="zh-CN"/>
              </w:rPr>
            </w:pPr>
            <w:r>
              <w:rPr>
                <w:rFonts w:hint="default" w:ascii="楷体_GB2312" w:hAnsi="楷体_GB2312" w:eastAsia="楷体_GB2312" w:cs="楷体_GB2312"/>
                <w:b/>
                <w:bCs/>
                <w:snapToGrid w:val="0"/>
                <w:color w:val="000000"/>
                <w:kern w:val="32"/>
                <w:sz w:val="24"/>
                <w:szCs w:val="24"/>
                <w:lang w:val="en-US" w:eastAsia="zh-CN"/>
              </w:rPr>
              <w:t>提高保障和改善民生水平，增强人民群众获得感</w:t>
            </w:r>
          </w:p>
        </w:tc>
        <w:tc>
          <w:tcPr>
            <w:tcW w:w="1540" w:type="dxa"/>
            <w:vAlign w:val="center"/>
          </w:tcPr>
          <w:p>
            <w:pPr>
              <w:jc w:val="center"/>
              <w:rPr>
                <w:vertAlign w:val="baseline"/>
              </w:rPr>
            </w:pPr>
          </w:p>
        </w:tc>
        <w:tc>
          <w:tcPr>
            <w:tcW w:w="5715" w:type="dxa"/>
          </w:tcPr>
          <w:p>
            <w:pPr>
              <w:rPr>
                <w:vertAlign w:val="baseline"/>
              </w:rPr>
            </w:pP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49</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持续提高就业质量。全面落实和完善就业、创业政策，扎实做好高校毕业生、城镇就业困难人员、零就业家庭、残疾人等重点群体的就业帮扶工作，整合培训资源资金，着力培养一批技术人才，构建均等化、信息化、一体化的大就业服务体系，</w:t>
            </w:r>
            <w:r>
              <w:rPr>
                <w:rFonts w:hint="eastAsia" w:asciiTheme="majorEastAsia" w:hAnsiTheme="majorEastAsia" w:eastAsiaTheme="majorEastAsia" w:cstheme="majorEastAsia"/>
                <w:snapToGrid w:val="0"/>
                <w:color w:val="000000"/>
                <w:kern w:val="32"/>
                <w:sz w:val="24"/>
                <w:szCs w:val="24"/>
                <w:lang w:val="en-US" w:eastAsia="zh-CN"/>
              </w:rPr>
              <w:t>城镇新增就业1.48万人，农村劳动力转移就业6000人，失业人员再就业2900人，就业困难人员就业1300人，城镇登记失业率保持在3%以内</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人社局</w:t>
            </w:r>
          </w:p>
        </w:tc>
        <w:tc>
          <w:tcPr>
            <w:tcW w:w="5715" w:type="dxa"/>
            <w:vAlign w:val="center"/>
          </w:tcPr>
          <w:p>
            <w:pPr>
              <w:jc w:val="both"/>
              <w:rPr>
                <w:vertAlign w:val="baseline"/>
              </w:rPr>
            </w:pPr>
            <w:r>
              <w:rPr>
                <w:rFonts w:hint="eastAsia" w:asciiTheme="majorEastAsia" w:hAnsiTheme="majorEastAsia" w:eastAsiaTheme="majorEastAsia" w:cstheme="majorEastAsia"/>
                <w:snapToGrid w:val="0"/>
                <w:color w:val="000000"/>
                <w:kern w:val="32"/>
                <w:sz w:val="24"/>
                <w:szCs w:val="24"/>
                <w:lang w:val="en-US" w:eastAsia="zh-CN"/>
              </w:rPr>
              <w:t>全市城镇新增就业7471人，完成目标任务1.48万人的50.48%，农村劳动力转移就业3507人，完成目标任务6000人的58.45%，失业人员再就业1537人，完成目标任务2900人的53%，就业困难人员再就业758人，完成目标任务1300人的58.31%。城镇登记失业率保持为2.91%。</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50</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坚持教育优先发展。深化教育体制机制改革，优化教育资源均衡供给，积极推进济源职业技术学院新校区、延庆国际学校、公办幼儿园等项目建设；实施公办普通高中免除学费；坚持抓好全省职业教育综合改革实验区、全国中小学研学旅行实验区、全国义务教育教师队伍“市管校聘”管理体制改革示范区建设</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教育局</w:t>
            </w:r>
          </w:p>
        </w:tc>
        <w:tc>
          <w:tcPr>
            <w:tcW w:w="5715" w:type="dxa"/>
          </w:tcPr>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1.改革方面，制定了《济源市教育局2018年全面深化改革工作实施方案》、《济源市第三期学前教育行动计划》、《济源市高中教育普及攻坚行动计划》和《济源市第二期特殊教育提升计划 (2018—2020年)》，统筹全市各类教育的改革发展。深化考试招生制度改革，坚持义务教育划片招生、就近入学，引导生源均衡分布，缓解市区学校“择校热”“大班额”；普通高中招生指标的80%直接分配到各初中，剩余20%指标面向全市择优录取，促进机会均等最大化。深化职业教育综合改革，扎实推进全省职业教育综合改革实验区建设，深化产教融合，强化校企合作，开展了以“职教改革四十年 产教融合育工匠”为主题的“职业教育活动周”和全市职业教育技能大赛。我市义务教育教师队伍“市管校聘”管理体制改革和济源职业技术学院“放管服”改革的“实施方案”已完成起草。在全省教育工作会议上，我市围绕“教师队伍建设”主题作经验介绍。</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2.项目建设方面，济源职业技术学院济东新校区以东以南已规划为教育用地，正在进行学院选址及建筑风格考察和规划设计，加紧制定具体工作方案。幼儿园建设项目正扎实推进，预计秋学段可投用沁园东环路幼儿园、济水东庄幼儿园、承留三湖嘉园幼儿园、北海东关幼儿园、玉泉第四幼儿园、邵原第一幼儿园6个项目，新增学位2000个。延庆国际学校已完成签约，选址也确定，附属物赔偿正在做环评。</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3.研学旅行方面，4月份，济源一中和济水一中被确定为省级研学旅行实验校，我市被确定为省研学旅行试验区，在全省研学旅行工作启动仪式上作经验交流，省内外数十个地市到我市学习研学旅行工作经验。</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4.公办普通高中免学费方面，市财政预算安排了2045.2万元直接下达各高中学校，我市在全省十八个地市中率先实现十二年公办学校（小学初中高中）学生免学费教育。</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51</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不断提高城乡居民社保水平。</w:t>
            </w:r>
            <w:r>
              <w:rPr>
                <w:rFonts w:hint="eastAsia" w:asciiTheme="majorEastAsia" w:hAnsiTheme="majorEastAsia" w:eastAsiaTheme="majorEastAsia" w:cstheme="majorEastAsia"/>
                <w:snapToGrid w:val="0"/>
                <w:color w:val="000000"/>
                <w:kern w:val="32"/>
                <w:sz w:val="24"/>
                <w:szCs w:val="24"/>
                <w:lang w:val="en-US" w:eastAsia="zh-CN"/>
              </w:rPr>
              <w:t>深入实施全民参保计划，推动社保卡参保人员全覆盖，逐步扩展社保卡业务功能综合应用；加强社会保险公共服务平台建设，推进社保服务向镇、村延伸；深化医保支付方式改革，重点推进按病种付费达到100个以上；稳步提高各项社会保险待遇水平，推进城乡低保同等待遇</w:t>
            </w:r>
            <w:r>
              <w:rPr>
                <w:rFonts w:hint="default" w:asciiTheme="majorEastAsia" w:hAnsiTheme="majorEastAsia" w:eastAsiaTheme="majorEastAsia" w:cstheme="majorEastAsia"/>
                <w:snapToGrid w:val="0"/>
                <w:color w:val="000000"/>
                <w:kern w:val="32"/>
                <w:sz w:val="24"/>
                <w:szCs w:val="24"/>
                <w:lang w:val="en-US" w:eastAsia="zh-CN"/>
              </w:rPr>
              <w:t>；加大保障房建设，力争新开工800套，分配入住保障性住房1500套，改造农村危房198户</w:t>
            </w:r>
          </w:p>
        </w:tc>
        <w:tc>
          <w:tcPr>
            <w:tcW w:w="1540"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人社局</w:t>
            </w:r>
          </w:p>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住建局</w:t>
            </w:r>
          </w:p>
        </w:tc>
        <w:tc>
          <w:tcPr>
            <w:tcW w:w="5715" w:type="dxa"/>
            <w:vAlign w:val="center"/>
          </w:tcPr>
          <w:p>
            <w:pPr>
              <w:keepNext w:val="0"/>
              <w:keepLines w:val="0"/>
              <w:widowControl/>
              <w:suppressLineNumbers w:val="0"/>
              <w:shd w:val="clear" w:fill="FFFFFF"/>
              <w:spacing w:before="0" w:beforeAutospacing="0" w:after="0" w:afterAutospacing="0" w:line="240" w:lineRule="auto"/>
              <w:ind w:left="0" w:right="0" w:firstLine="0"/>
              <w:jc w:val="both"/>
              <w:rPr>
                <w:rFonts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1.正在调研、测算居民养老保险待遇调整的相关情况和数据。等省城乡居民养老保险金调整待遇文件出台后，出台我市包含城乡居民基本养老保险多缴多得激励机制、城乡居民基础养老金调整、原城乡居民有关补充意见等内容的文件。</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2.出台《济源市人力资源和社会保障局关于印发全面实施全民参保计划工作方案的通知》，各单位正在按方案要求推进工作。</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3.截止目前，制卡成功63万余张，共发放社保卡57.8479张。逐步扩展社保卡业务功能综合应用，目前已经实现了通过社保卡享受医保即时结算，全国跨省和省内快递医保异地即时结算待遇，跨行领取城乡居民养老待遇，就业补贴、民师补助、失业金等的发放，人社系统内各项业务的身份凭证，其它一些领域的身份凭证等功能。</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4.完成对现有的86个人社服务站的验收工作和2018年新建的102个人社服务站的选址工作。邀请《中国社会保障》杂志主编来我市调研，对我市“三化”建设进行宣传报道。向市政府报送《关于拨付基层服务平台“三化”建设费用的请示》（济人社文〔2018〕23号），财政部门审核后予以批复，同意增加预算。</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Calibri" w:hAnsi="Calibri" w:cs="Calibri"/>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5.已经选定按病种付费100余种，正在同各医疗机构就医保支付价格进行协商谈判，预计第三季度完成，届时出台我市按病种付费政策。</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6.保障房：已完成保障性住房分配入住203户。</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7.危房改造：2018年危房改造分三批下达任务，共计507户，目前已开工218户，竣工64户。</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52</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深入实施“健康济源”工程。全面深化省市、市镇医联体和中医医联体建设，推进城乡居民家庭医生签约服务工作，城乡居民家庭签约率达到60%以上，重点人群签约率达到90%以上；优化医疗卫生资源布局，推进妇幼保健院、卫校附属医院整合，实施市人民医院扩建、中医院二期和二院综合病房楼及五龙口、梨林、承留三家卫生院迁（扩）建项目；扎实开展河南省健康促进市和全国群众满意的乡镇卫生院创建</w:t>
            </w:r>
          </w:p>
        </w:tc>
        <w:tc>
          <w:tcPr>
            <w:tcW w:w="1540"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卫计委</w:t>
            </w: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1.全面深化省市、市镇医联体和中医医联体建设：已印发《济源市医疗服务共同体试点实施方案》，拟定了《济源市中医医联体建设工作实施方案》草案。</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2.推进城乡居民家庭医生签约服务，城乡居民家庭签约率达到60%以上，重点人群签约率达到90%：截止5月底常住人群全市签约居民516558人，签约率70.47%，其中重点人群签约230000人，签约率84.91%。</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3.已制定定妇幼保健院和卫校附属医院整合草案，拟提交政府常务会研究。</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4.实施市人民医院扩建、中医院二期和二院综合病房楼及五龙口、梨林、承留三甲卫生院迁（扩）建项目：人民医院、二院等6个项目正在走PPP发起程序，等待政府审批。</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5.扎实开展河南省健康促进市创建：印发《济源市健康促进市建设实施方案》、《关于全面加强健康促进与教育的指导意见》，召开了全市健康促进市建设动员大会。</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6.扎实开展全国群众满意的乡镇卫生院创建：等待省卫计委出台2018年相关文件后执行。</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837" w:type="dxa"/>
            <w:vAlign w:val="center"/>
          </w:tcPr>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53</w:t>
            </w:r>
          </w:p>
        </w:tc>
        <w:tc>
          <w:tcPr>
            <w:tcW w:w="4860" w:type="dxa"/>
            <w:vAlign w:val="center"/>
          </w:tcPr>
          <w:p>
            <w:pPr>
              <w:jc w:val="both"/>
              <w:rPr>
                <w:rFonts w:hint="default" w:ascii="Times New Roman" w:hAnsi="Times New Roman" w:eastAsia="黑体" w:cs="Times New Roman"/>
                <w:color w:val="auto"/>
                <w:sz w:val="32"/>
                <w:szCs w:val="32"/>
                <w:lang w:val="en-US" w:eastAsia="zh-CN"/>
              </w:rPr>
            </w:pPr>
            <w:r>
              <w:rPr>
                <w:rFonts w:hint="default" w:asciiTheme="majorEastAsia" w:hAnsiTheme="majorEastAsia" w:eastAsiaTheme="majorEastAsia" w:cstheme="majorEastAsia"/>
                <w:snapToGrid w:val="0"/>
                <w:color w:val="000000"/>
                <w:kern w:val="32"/>
                <w:sz w:val="24"/>
                <w:szCs w:val="24"/>
                <w:lang w:val="en-US" w:eastAsia="zh-CN"/>
              </w:rPr>
              <w:t>加快文化、体育等事业发展。实施文化强市战略，全</w:t>
            </w:r>
            <w:r>
              <w:rPr>
                <w:rFonts w:hint="eastAsia" w:asciiTheme="majorEastAsia" w:hAnsiTheme="majorEastAsia" w:eastAsiaTheme="majorEastAsia" w:cstheme="majorEastAsia"/>
                <w:snapToGrid w:val="0"/>
                <w:color w:val="000000"/>
                <w:kern w:val="32"/>
                <w:sz w:val="24"/>
                <w:szCs w:val="24"/>
                <w:lang w:val="en-US" w:eastAsia="zh-CN"/>
              </w:rPr>
              <w:t>面完成</w:t>
            </w:r>
            <w:r>
              <w:rPr>
                <w:rFonts w:hint="default" w:asciiTheme="majorEastAsia" w:hAnsiTheme="majorEastAsia" w:eastAsiaTheme="majorEastAsia" w:cstheme="majorEastAsia"/>
                <w:snapToGrid w:val="0"/>
                <w:color w:val="000000"/>
                <w:kern w:val="32"/>
                <w:sz w:val="24"/>
                <w:szCs w:val="24"/>
                <w:lang w:val="en-US" w:eastAsia="zh-CN"/>
              </w:rPr>
              <w:t>国家公共文化服务体系示范区</w:t>
            </w:r>
            <w:r>
              <w:rPr>
                <w:rFonts w:hint="eastAsia" w:asciiTheme="majorEastAsia" w:hAnsiTheme="majorEastAsia" w:eastAsiaTheme="majorEastAsia" w:cstheme="majorEastAsia"/>
                <w:snapToGrid w:val="0"/>
                <w:color w:val="000000"/>
                <w:kern w:val="32"/>
                <w:sz w:val="24"/>
                <w:szCs w:val="24"/>
                <w:lang w:val="en-US" w:eastAsia="zh-CN"/>
              </w:rPr>
              <w:t>创建工作</w:t>
            </w:r>
            <w:r>
              <w:rPr>
                <w:rFonts w:hint="default" w:asciiTheme="majorEastAsia" w:hAnsiTheme="majorEastAsia" w:eastAsiaTheme="majorEastAsia" w:cstheme="majorEastAsia"/>
                <w:snapToGrid w:val="0"/>
                <w:color w:val="000000"/>
                <w:kern w:val="32"/>
                <w:sz w:val="24"/>
                <w:szCs w:val="24"/>
                <w:lang w:val="en-US" w:eastAsia="zh-CN"/>
              </w:rPr>
              <w:t>，实施好文化惠民工程，建立文化产业园区，打造《愚公》等文艺精品，启动博物馆、美术馆、少儿图书馆、非物质文化遗产展示馆“四馆合一”的文化艺术中心项目建设；加大体育人才培养力度，积极备战河南省第十三届运动会</w:t>
            </w:r>
          </w:p>
        </w:tc>
        <w:tc>
          <w:tcPr>
            <w:tcW w:w="1540"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文广新局</w:t>
            </w:r>
          </w:p>
          <w:p>
            <w:pPr>
              <w:jc w:val="center"/>
              <w:rPr>
                <w:vertAlign w:val="baseline"/>
              </w:rPr>
            </w:pPr>
            <w:r>
              <w:rPr>
                <w:rFonts w:hint="eastAsia" w:asciiTheme="majorEastAsia" w:hAnsiTheme="majorEastAsia" w:eastAsiaTheme="majorEastAsia" w:cstheme="majorEastAsia"/>
                <w:snapToGrid w:val="0"/>
                <w:color w:val="000000"/>
                <w:kern w:val="32"/>
                <w:sz w:val="24"/>
                <w:szCs w:val="24"/>
                <w:lang w:val="en-US" w:eastAsia="zh-CN"/>
              </w:rPr>
              <w:t>体育局</w:t>
            </w:r>
          </w:p>
        </w:tc>
        <w:tc>
          <w:tcPr>
            <w:tcW w:w="5715" w:type="dxa"/>
          </w:tcPr>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1.国家公共文化服务体系示范区创建工作进展顺利。积极筹备创建办公室，正在开展迎检资料整理工作。多次召开专题会。印发了《济源市2018年度创建国家公共文化服务体系示范区完善提升实施方案》。省文化厅对创建工作进行了预验收。目前正根据验收组意见进行积极整改提升。5月24日召开了全市迎检动员会，准备迎接文化部全面验收。与市创建办联合，对市、镇、村三级创建国家公共文化服务体系示范区情况进行督导检查。</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2.“舞台艺术送基层”演出任务222场，已完成197场。农村数字电影放映任务6312场，已完成1200余场。“中原文化大舞台”低价惠民演出任务40场次，已完成20场。“戏曲进校园”活动已完成演出、授课等70余场。为17个贫困村的农家书屋新配备了数字化农家书屋接收终端，开展了“读书致富改变生活”农家书屋阅读活动。“愚公剧场”演出任务50场，已演出7场。“图书漂流站”建设任务10座，正在制定工作实施方案，积极筹备开始建设。</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3.已起草《济源市文化产业示范园区创建管理办法》，已在全市有关部门征求了意见。</w:t>
            </w:r>
          </w:p>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4.演出单位正在对豫剧《愚公》进行认真加工提高。</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5.5月28日，向市政府上报了将文化艺术中心项目列入2018年第二批政府投资项目台账的请示。</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6.截止6月底，群体项目参加了羽毛球和体育舞蹈比赛，共取得3个一等奖，5个二等奖，7个三等奖。青少年项目参加了五人制足球、柔道、幼儿体操等项目比赛，团体取得2个第六名、2个第九名；个人取得1个第五名、2个第六名，1个第七名、1个第八名。</w:t>
            </w:r>
          </w:p>
        </w:tc>
        <w:tc>
          <w:tcPr>
            <w:tcW w:w="96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837"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54</w:t>
            </w:r>
          </w:p>
        </w:tc>
        <w:tc>
          <w:tcPr>
            <w:tcW w:w="4860" w:type="dxa"/>
            <w:vAlign w:val="center"/>
          </w:tcPr>
          <w:p>
            <w:pPr>
              <w:jc w:val="both"/>
              <w:rPr>
                <w:rFonts w:hint="default"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推进社会治理创新。</w:t>
            </w:r>
            <w:r>
              <w:rPr>
                <w:rFonts w:hint="default" w:asciiTheme="majorEastAsia" w:hAnsiTheme="majorEastAsia" w:eastAsiaTheme="majorEastAsia" w:cstheme="majorEastAsia"/>
                <w:snapToGrid w:val="0"/>
                <w:color w:val="000000"/>
                <w:kern w:val="32"/>
                <w:sz w:val="24"/>
                <w:szCs w:val="24"/>
                <w:lang w:val="en-US" w:eastAsia="zh-CN"/>
              </w:rPr>
              <w:t>深化平安建设，完善公共安全体系，及时排查调处各类矛盾纠纷</w:t>
            </w:r>
            <w:r>
              <w:rPr>
                <w:rFonts w:hint="eastAsia" w:asciiTheme="majorEastAsia" w:hAnsiTheme="majorEastAsia" w:eastAsiaTheme="majorEastAsia" w:cstheme="majorEastAsia"/>
                <w:snapToGrid w:val="0"/>
                <w:color w:val="000000"/>
                <w:kern w:val="32"/>
                <w:sz w:val="24"/>
                <w:szCs w:val="24"/>
                <w:lang w:val="en-US" w:eastAsia="zh-CN"/>
              </w:rPr>
              <w:t>；完善安全生产监管机制，</w:t>
            </w:r>
            <w:r>
              <w:rPr>
                <w:rFonts w:hint="default" w:asciiTheme="majorEastAsia" w:hAnsiTheme="majorEastAsia" w:eastAsiaTheme="majorEastAsia" w:cstheme="majorEastAsia"/>
                <w:snapToGrid w:val="0"/>
                <w:color w:val="000000"/>
                <w:kern w:val="32"/>
                <w:sz w:val="24"/>
                <w:szCs w:val="24"/>
                <w:lang w:val="en-US" w:eastAsia="zh-CN"/>
              </w:rPr>
              <w:t>严格落实安全生产责任制，</w:t>
            </w:r>
            <w:r>
              <w:rPr>
                <w:rFonts w:hint="eastAsia" w:asciiTheme="majorEastAsia" w:hAnsiTheme="majorEastAsia" w:eastAsiaTheme="majorEastAsia" w:cstheme="majorEastAsia"/>
                <w:snapToGrid w:val="0"/>
                <w:color w:val="000000"/>
                <w:kern w:val="32"/>
                <w:sz w:val="24"/>
                <w:szCs w:val="24"/>
                <w:lang w:val="en-US" w:eastAsia="zh-CN"/>
              </w:rPr>
              <w:t>坚决遏制重特大安全事故发生；强化食品药品安全监管，</w:t>
            </w:r>
            <w:r>
              <w:rPr>
                <w:rFonts w:hint="default" w:asciiTheme="majorEastAsia" w:hAnsiTheme="majorEastAsia" w:eastAsiaTheme="majorEastAsia" w:cstheme="majorEastAsia"/>
                <w:snapToGrid w:val="0"/>
                <w:color w:val="000000"/>
                <w:kern w:val="32"/>
                <w:sz w:val="24"/>
                <w:szCs w:val="24"/>
                <w:lang w:val="en-US" w:eastAsia="zh-CN"/>
              </w:rPr>
              <w:t>争创国家食品安全示范市</w:t>
            </w:r>
          </w:p>
        </w:tc>
        <w:tc>
          <w:tcPr>
            <w:tcW w:w="1540" w:type="dxa"/>
            <w:vAlign w:val="center"/>
          </w:tcPr>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公安局</w:t>
            </w:r>
          </w:p>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安监局</w:t>
            </w:r>
          </w:p>
          <w:p>
            <w:pPr>
              <w:jc w:val="center"/>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药监局</w:t>
            </w:r>
          </w:p>
        </w:tc>
        <w:tc>
          <w:tcPr>
            <w:tcW w:w="5715" w:type="dxa"/>
          </w:tcPr>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1.建立矛盾纠纷和个人极端暴力犯罪排查化解机制。</w:t>
            </w:r>
          </w:p>
          <w:p>
            <w:pPr>
              <w:jc w:val="both"/>
              <w:rPr>
                <w:rFonts w:hint="eastAsia" w:asciiTheme="majorEastAsia" w:hAnsiTheme="majorEastAsia" w:eastAsiaTheme="majorEastAsia" w:cstheme="majorEastAsia"/>
                <w:snapToGrid w:val="0"/>
                <w:color w:val="000000"/>
                <w:kern w:val="32"/>
                <w:sz w:val="24"/>
                <w:szCs w:val="24"/>
                <w:lang w:val="en-US" w:eastAsia="zh-CN"/>
              </w:rPr>
            </w:pPr>
            <w:r>
              <w:rPr>
                <w:rFonts w:hint="eastAsia" w:asciiTheme="majorEastAsia" w:hAnsiTheme="majorEastAsia" w:eastAsiaTheme="majorEastAsia" w:cstheme="majorEastAsia"/>
                <w:snapToGrid w:val="0"/>
                <w:color w:val="000000"/>
                <w:kern w:val="32"/>
                <w:sz w:val="24"/>
                <w:szCs w:val="24"/>
                <w:lang w:val="en-US" w:eastAsia="zh-CN"/>
              </w:rPr>
              <w:t>2.出台《济源市创建食品安全示范城市工作实施方案》，印发了目标任务分解表，并于4月4日召开了全市“双安双创”工作动员会暨食品安全工作会，全面动员部署示范创建工作。当前工作一是开展前期宣传动员，营造创建氛围；二是选定示范街、示范店进行规范提升改造；三是组织赴大连、烟台以及附近的巩义、焦作、洛阳等地市学习考察，借鉴创建先进经验和做法。</w:t>
            </w:r>
          </w:p>
        </w:tc>
        <w:tc>
          <w:tcPr>
            <w:tcW w:w="968" w:type="dxa"/>
          </w:tcPr>
          <w:p>
            <w:pPr>
              <w:rPr>
                <w:vertAlign w:val="baseline"/>
              </w:rPr>
            </w:pPr>
          </w:p>
        </w:tc>
      </w:tr>
    </w:tbl>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lang w:val="en-US" w:eastAsia="zh-CN"/>
        </w:rPr>
        <w:sectPr>
          <w:footerReference r:id="rId3" w:type="default"/>
          <w:pgSz w:w="16838" w:h="11906" w:orient="landscape"/>
          <w:pgMar w:top="1803" w:right="1440" w:bottom="1803" w:left="1440" w:header="851" w:footer="992" w:gutter="0"/>
          <w:paperSrc/>
          <w:pgNumType w:fmt="numberInDash"/>
          <w:cols w:space="0" w:num="1"/>
          <w:rtlGutter w:val="0"/>
          <w:docGrid w:type="lines" w:linePitch="319" w:charSpace="0"/>
        </w:sect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1"/>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1"/>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1"/>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1"/>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1"/>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1"/>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outlineLvl w:val="9"/>
        <w:rPr>
          <w:rFonts w:hint="eastAsia" w:ascii="仿宋_GB2312" w:hAnsi="仿宋_GB2312" w:eastAsia="仿宋_GB2312" w:cs="仿宋_GB2312"/>
          <w:sz w:val="32"/>
          <w:szCs w:val="32"/>
          <w:lang w:val="en-US" w:eastAsia="zh-CN"/>
        </w:rPr>
      </w:pPr>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ascii="新宋体" w:hAnsi="新宋体" w:eastAsia="新宋体" w:cs="新宋体"/>
                              <w:sz w:val="24"/>
                              <w:szCs w:val="24"/>
                              <w:lang w:eastAsia="zh-CN"/>
                            </w:rPr>
                            <w:fldChar w:fldCharType="begin"/>
                          </w:r>
                          <w:r>
                            <w:rPr>
                              <w:rFonts w:hint="eastAsia" w:ascii="新宋体" w:hAnsi="新宋体" w:eastAsia="新宋体" w:cs="新宋体"/>
                              <w:sz w:val="24"/>
                              <w:szCs w:val="24"/>
                              <w:lang w:eastAsia="zh-CN"/>
                            </w:rPr>
                            <w:instrText xml:space="preserve"> PAGE  \* MERGEFORMAT </w:instrText>
                          </w:r>
                          <w:r>
                            <w:rPr>
                              <w:rFonts w:hint="eastAsia" w:ascii="新宋体" w:hAnsi="新宋体" w:eastAsia="新宋体" w:cs="新宋体"/>
                              <w:sz w:val="24"/>
                              <w:szCs w:val="24"/>
                              <w:lang w:eastAsia="zh-CN"/>
                            </w:rPr>
                            <w:fldChar w:fldCharType="separate"/>
                          </w:r>
                          <w:r>
                            <w:rPr>
                              <w:rFonts w:hint="eastAsia" w:ascii="新宋体" w:hAnsi="新宋体" w:eastAsia="新宋体" w:cs="新宋体"/>
                              <w:sz w:val="24"/>
                              <w:szCs w:val="24"/>
                              <w:lang w:eastAsia="zh-CN"/>
                            </w:rPr>
                            <w:t>1</w:t>
                          </w:r>
                          <w:r>
                            <w:rPr>
                              <w:rFonts w:hint="eastAsia" w:ascii="新宋体" w:hAnsi="新宋体" w:eastAsia="新宋体" w:cs="新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ascii="新宋体" w:hAnsi="新宋体" w:eastAsia="新宋体" w:cs="新宋体"/>
                        <w:sz w:val="24"/>
                        <w:szCs w:val="24"/>
                        <w:lang w:eastAsia="zh-CN"/>
                      </w:rPr>
                      <w:fldChar w:fldCharType="begin"/>
                    </w:r>
                    <w:r>
                      <w:rPr>
                        <w:rFonts w:hint="eastAsia" w:ascii="新宋体" w:hAnsi="新宋体" w:eastAsia="新宋体" w:cs="新宋体"/>
                        <w:sz w:val="24"/>
                        <w:szCs w:val="24"/>
                        <w:lang w:eastAsia="zh-CN"/>
                      </w:rPr>
                      <w:instrText xml:space="preserve"> PAGE  \* MERGEFORMAT </w:instrText>
                    </w:r>
                    <w:r>
                      <w:rPr>
                        <w:rFonts w:hint="eastAsia" w:ascii="新宋体" w:hAnsi="新宋体" w:eastAsia="新宋体" w:cs="新宋体"/>
                        <w:sz w:val="24"/>
                        <w:szCs w:val="24"/>
                        <w:lang w:eastAsia="zh-CN"/>
                      </w:rPr>
                      <w:fldChar w:fldCharType="separate"/>
                    </w:r>
                    <w:r>
                      <w:rPr>
                        <w:rFonts w:hint="eastAsia" w:ascii="新宋体" w:hAnsi="新宋体" w:eastAsia="新宋体" w:cs="新宋体"/>
                        <w:sz w:val="24"/>
                        <w:szCs w:val="24"/>
                        <w:lang w:eastAsia="zh-CN"/>
                      </w:rPr>
                      <w:t>1</w:t>
                    </w:r>
                    <w:r>
                      <w:rPr>
                        <w:rFonts w:hint="eastAsia" w:ascii="新宋体" w:hAnsi="新宋体" w:eastAsia="新宋体" w:cs="新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11754"/>
    <w:rsid w:val="040551EC"/>
    <w:rsid w:val="36811754"/>
    <w:rsid w:val="4CF71661"/>
    <w:rsid w:val="56B11E4B"/>
    <w:rsid w:val="643B730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2018-07-10T07:02:00Z</dcterms:created>
  <dc:creator>Administrator</dc:creator>
  <cp:lastModifiedBy>Administrator</cp:lastModifiedBy>
  <cp:lastPrinted>2018-07-12T03:19:00Z</cp:lastPrinted>
  <dcterms:modified xsi:type="dcterms:W3CDTF">2018-07-19T07:45:29Z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